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946" w14:textId="77777777" w:rsidR="005E2222" w:rsidRDefault="005E2222" w:rsidP="005E2222"/>
    <w:p w14:paraId="472CE094" w14:textId="77777777" w:rsidR="002C569E" w:rsidRDefault="002C569E" w:rsidP="005E2222"/>
    <w:p w14:paraId="1FB078EA" w14:textId="77777777" w:rsidR="005E2222" w:rsidRDefault="005E2222" w:rsidP="005E2222"/>
    <w:p w14:paraId="501B791B" w14:textId="77777777" w:rsidR="005E2222" w:rsidRDefault="00AF6B56" w:rsidP="005E2222">
      <w:r>
        <w:rPr>
          <w:noProof/>
          <w:lang w:eastAsia="da-DK"/>
        </w:rPr>
        <mc:AlternateContent>
          <mc:Choice Requires="wps">
            <w:drawing>
              <wp:anchor distT="0" distB="0" distL="114300" distR="114300" simplePos="0" relativeHeight="251659264" behindDoc="0" locked="0" layoutInCell="1" allowOverlap="1" wp14:anchorId="4ECFA0DD" wp14:editId="0E5B259D">
                <wp:simplePos x="0" y="0"/>
                <wp:positionH relativeFrom="column">
                  <wp:posOffset>880110</wp:posOffset>
                </wp:positionH>
                <wp:positionV relativeFrom="paragraph">
                  <wp:posOffset>816610</wp:posOffset>
                </wp:positionV>
                <wp:extent cx="5591175" cy="3648075"/>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64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5B5AF" w14:textId="77777777" w:rsidR="00395C3E" w:rsidRPr="00FD5A6A" w:rsidRDefault="00395C3E" w:rsidP="00FA0ED5">
                            <w:pPr>
                              <w:jc w:val="right"/>
                              <w:rPr>
                                <w:color w:val="FFFFFF" w:themeColor="background1"/>
                                <w:sz w:val="48"/>
                                <w:szCs w:val="48"/>
                                <w:lang w:val="nn-NO"/>
                              </w:rPr>
                            </w:pPr>
                            <w:r w:rsidRPr="00FD5A6A">
                              <w:rPr>
                                <w:color w:val="FFFFFF" w:themeColor="background1"/>
                                <w:sz w:val="48"/>
                                <w:szCs w:val="48"/>
                                <w:lang w:val="nn-NO"/>
                              </w:rPr>
                              <w:t xml:space="preserve">Statens Kunstfonds </w:t>
                            </w:r>
                            <w:r w:rsidRPr="00FD5A6A">
                              <w:rPr>
                                <w:color w:val="FFFFFF" w:themeColor="background1"/>
                                <w:sz w:val="48"/>
                                <w:szCs w:val="48"/>
                                <w:lang w:val="nn-NO"/>
                              </w:rPr>
                              <w:br/>
                              <w:t>Projektstøtteudvalg for Scenekunst</w:t>
                            </w:r>
                          </w:p>
                          <w:p w14:paraId="1D97E008" w14:textId="77777777" w:rsidR="00395C3E" w:rsidRPr="00FD5A6A" w:rsidRDefault="00395C3E" w:rsidP="00FA0ED5">
                            <w:pPr>
                              <w:jc w:val="right"/>
                              <w:rPr>
                                <w:color w:val="FFFFFF" w:themeColor="background1"/>
                                <w:sz w:val="48"/>
                                <w:szCs w:val="48"/>
                                <w:lang w:val="nn-NO"/>
                              </w:rPr>
                            </w:pPr>
                          </w:p>
                          <w:p w14:paraId="667A4422" w14:textId="77777777" w:rsidR="00395C3E" w:rsidRPr="00FD5A6A" w:rsidRDefault="00395C3E" w:rsidP="00DB6C46">
                            <w:pPr>
                              <w:jc w:val="right"/>
                              <w:rPr>
                                <w:color w:val="FFFFFF" w:themeColor="background1"/>
                                <w:sz w:val="48"/>
                                <w:szCs w:val="48"/>
                                <w:lang w:val="nn-NO"/>
                              </w:rPr>
                            </w:pPr>
                            <w:r w:rsidRPr="00FD5A6A">
                              <w:rPr>
                                <w:color w:val="FFFFFF" w:themeColor="background1"/>
                                <w:sz w:val="48"/>
                                <w:szCs w:val="48"/>
                                <w:lang w:val="nn-NO"/>
                              </w:rPr>
                              <w:t>EVALUERING AF EGNSTEATRE I DANMARK</w:t>
                            </w:r>
                          </w:p>
                          <w:p w14:paraId="7B94B326" w14:textId="77777777" w:rsidR="00395C3E" w:rsidRPr="00FD5A6A" w:rsidRDefault="00395C3E" w:rsidP="00DB6C46">
                            <w:pPr>
                              <w:jc w:val="right"/>
                              <w:rPr>
                                <w:color w:val="FFFFFF" w:themeColor="background1"/>
                                <w:sz w:val="48"/>
                                <w:szCs w:val="48"/>
                                <w:lang w:val="nn-NO"/>
                              </w:rPr>
                            </w:pPr>
                            <w:r w:rsidRPr="00FD5A6A">
                              <w:rPr>
                                <w:color w:val="FFFFFF" w:themeColor="background1"/>
                                <w:sz w:val="48"/>
                                <w:szCs w:val="48"/>
                                <w:lang w:val="nn-NO"/>
                              </w:rPr>
                              <w:t>BLACK BOX THEATRE</w:t>
                            </w:r>
                          </w:p>
                          <w:p w14:paraId="12A9C11A" w14:textId="77777777" w:rsidR="00395C3E" w:rsidRPr="00FD5A6A" w:rsidRDefault="00395C3E" w:rsidP="00FA0ED5">
                            <w:pPr>
                              <w:jc w:val="right"/>
                              <w:rPr>
                                <w:color w:val="FFFFFF" w:themeColor="background1"/>
                                <w:sz w:val="48"/>
                                <w:szCs w:val="48"/>
                                <w:lang w:val="nn-NO"/>
                              </w:rPr>
                            </w:pPr>
                          </w:p>
                          <w:p w14:paraId="1561C582" w14:textId="77777777" w:rsidR="00395C3E" w:rsidRPr="00FD5A6A" w:rsidRDefault="00395C3E" w:rsidP="00FA0ED5">
                            <w:pPr>
                              <w:jc w:val="right"/>
                              <w:rPr>
                                <w:color w:val="FFFFFF" w:themeColor="background1"/>
                                <w:sz w:val="48"/>
                                <w:szCs w:val="48"/>
                                <w:lang w:val="nn-NO"/>
                              </w:rPr>
                            </w:pPr>
                          </w:p>
                          <w:p w14:paraId="62E2D581" w14:textId="77777777" w:rsidR="00395C3E" w:rsidRPr="00FD5A6A" w:rsidRDefault="00395C3E" w:rsidP="00FA0ED5">
                            <w:pPr>
                              <w:jc w:val="right"/>
                              <w:rPr>
                                <w:i/>
                                <w:color w:val="FFFFFF" w:themeColor="background1"/>
                                <w:sz w:val="32"/>
                                <w:szCs w:val="32"/>
                                <w:lang w:val="nn-NO"/>
                              </w:rPr>
                            </w:pPr>
                            <w:r w:rsidRPr="00FD5A6A">
                              <w:rPr>
                                <w:i/>
                                <w:color w:val="FFFFFF" w:themeColor="background1"/>
                                <w:sz w:val="32"/>
                                <w:szCs w:val="32"/>
                                <w:lang w:val="nn-NO"/>
                              </w:rPr>
                              <w:t>Lene Bak</w:t>
                            </w:r>
                          </w:p>
                          <w:p w14:paraId="3325A86E" w14:textId="77777777" w:rsidR="00395C3E" w:rsidRPr="00376B61" w:rsidRDefault="00395C3E" w:rsidP="00FA0ED5">
                            <w:pPr>
                              <w:jc w:val="right"/>
                              <w:rPr>
                                <w:i/>
                                <w:color w:val="FFFFFF" w:themeColor="background1"/>
                                <w:sz w:val="32"/>
                                <w:szCs w:val="32"/>
                                <w:lang w:val="en-US"/>
                              </w:rPr>
                            </w:pPr>
                            <w:r w:rsidRPr="00376B61">
                              <w:rPr>
                                <w:i/>
                                <w:color w:val="FFFFFF" w:themeColor="background1"/>
                                <w:sz w:val="32"/>
                                <w:szCs w:val="32"/>
                                <w:lang w:val="en-US"/>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A0DD" id="_x0000_t202" coordsize="21600,21600" o:spt="202" path="m,l,21600r21600,l21600,xe">
                <v:stroke joinstyle="miter"/>
                <v:path gradientshapeok="t" o:connecttype="rect"/>
              </v:shapetype>
              <v:shape id="Tekstboks 2" o:spid="_x0000_s1026" type="#_x0000_t202" style="position:absolute;margin-left:69.3pt;margin-top:64.3pt;width:440.25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p1jgIAAH0FAAAOAAAAZHJzL2Uyb0RvYy54bWysVEtv2zAMvg/YfxB0Xx2nSR9GnSJr0WFA&#10;0BZrh54VWWqMSKImKbGzX19KtpOg26XDLjYlfqT4+Mir61YrshXO12BKmp+MKBGGQ1Wb15L+fL77&#10;ckGJD8xUTIERJd0JT69nnz9dNbYQY1iBqoQj6MT4orElXYVgiyzzfCU08ydghUGlBKdZwKN7zSrH&#10;GvSuVTYejc6yBlxlHXDhPd7edko6S/6lFDw8SOlFIKqkGFtIX5e+y/jNZleseHXMrmreh8H+IQrN&#10;aoOP7l3dssDIxtV/uNI1d+BBhhMOOgMpay5SDphNPnqXzdOKWZFyweJ4uy+T/39u+f320ZG6KumY&#10;EsM0tuhZrH1YwtqTcSxPY32BqCeLuNB+hRbbnFL1dgF87RGSHWE6A4/oWI5WOh3/mChBQ+zAbl91&#10;0QbC8XI6vczz8yklHHWnZ5OLER6i14O5dT58E6BJFErqsK0pBLZd+NBBB0h8zcBdrRTes0IZ0pT0&#10;7HQ6SgZ7DTpXJgJEIknvJubRhZ6ksFOic/JDSCxSyiBeJHqKG+XIliGxGOfChLwPWhlER5TEID5i&#10;2OMPUX3EuMtjeBlM2Bvr2oDrOhan6hB2tR5Clh2+76Tv8o4lCO2yxTpGcQnVDingoJshb/ldjd1Y&#10;MB8emcOhwebiIggP+JEKsOrQS5SswP3+233EI5dRS0mDQ1hS/2vDnKBEfTfI8st8MolTmw6T6fkY&#10;D+5YszzWmI2+AWxHjivH8iRGfFCDKB3oF9wX8/gqqpjh+HZJwyDehG414L7hYj5PIJxTy8LCPFk+&#10;MD9y7bl9Yc72hAzI5XsYxpUV73jZYWNfDcw3AWSdSHuoal94nPFE+34fxSVyfE6ow9acvQEAAP//&#10;AwBQSwMEFAAGAAgAAAAhANsAPgzhAAAADAEAAA8AAABkcnMvZG93bnJldi54bWxMj81OwzAQhO9I&#10;vIO1SNyonVSUEOJUVaQKCcGhpRdum3ibRPgnxG4beHqcE9xmtJ9mZ4r1ZDQ70+h7ZyUkCwGMbONU&#10;b1sJh/ftXQbMB7QKtbMk4Zs8rMvrqwJz5S52R+d9aFkMsT5HCV0IQ865bzoy6BduIBtvRzcaDNGO&#10;LVcjXmK40TwVYsUN9jZ+6HCgqqPmc38yEl6q7Rvu6tRkP7p6fj1uhq/Dx72UtzfT5glYoCn8wTDX&#10;j9WhjJ1qd7LKMx39MltFNIp0FjMhkscEWC3hQSwT4GXB/48ofwEAAP//AwBQSwECLQAUAAYACAAA&#10;ACEAtoM4kv4AAADhAQAAEwAAAAAAAAAAAAAAAAAAAAAAW0NvbnRlbnRfVHlwZXNdLnhtbFBLAQIt&#10;ABQABgAIAAAAIQA4/SH/1gAAAJQBAAALAAAAAAAAAAAAAAAAAC8BAABfcmVscy8ucmVsc1BLAQIt&#10;ABQABgAIAAAAIQBTkop1jgIAAH0FAAAOAAAAAAAAAAAAAAAAAC4CAABkcnMvZTJvRG9jLnhtbFBL&#10;AQItABQABgAIAAAAIQDbAD4M4QAAAAwBAAAPAAAAAAAAAAAAAAAAAOgEAABkcnMvZG93bnJldi54&#10;bWxQSwUGAAAAAAQABADzAAAA9gUAAAAA&#10;" filled="f" stroked="f" strokeweight=".5pt">
                <v:textbox>
                  <w:txbxContent>
                    <w:p w14:paraId="4D85B5AF" w14:textId="77777777" w:rsidR="00395C3E" w:rsidRPr="00FD5A6A" w:rsidRDefault="00395C3E" w:rsidP="00FA0ED5">
                      <w:pPr>
                        <w:jc w:val="right"/>
                        <w:rPr>
                          <w:color w:val="FFFFFF" w:themeColor="background1"/>
                          <w:sz w:val="48"/>
                          <w:szCs w:val="48"/>
                          <w:lang w:val="nn-NO"/>
                        </w:rPr>
                      </w:pPr>
                      <w:r w:rsidRPr="00FD5A6A">
                        <w:rPr>
                          <w:color w:val="FFFFFF" w:themeColor="background1"/>
                          <w:sz w:val="48"/>
                          <w:szCs w:val="48"/>
                          <w:lang w:val="nn-NO"/>
                        </w:rPr>
                        <w:t xml:space="preserve">Statens Kunstfonds </w:t>
                      </w:r>
                      <w:r w:rsidRPr="00FD5A6A">
                        <w:rPr>
                          <w:color w:val="FFFFFF" w:themeColor="background1"/>
                          <w:sz w:val="48"/>
                          <w:szCs w:val="48"/>
                          <w:lang w:val="nn-NO"/>
                        </w:rPr>
                        <w:br/>
                        <w:t>Projektstøtteudvalg for Scenekunst</w:t>
                      </w:r>
                    </w:p>
                    <w:p w14:paraId="1D97E008" w14:textId="77777777" w:rsidR="00395C3E" w:rsidRPr="00FD5A6A" w:rsidRDefault="00395C3E" w:rsidP="00FA0ED5">
                      <w:pPr>
                        <w:jc w:val="right"/>
                        <w:rPr>
                          <w:color w:val="FFFFFF" w:themeColor="background1"/>
                          <w:sz w:val="48"/>
                          <w:szCs w:val="48"/>
                          <w:lang w:val="nn-NO"/>
                        </w:rPr>
                      </w:pPr>
                    </w:p>
                    <w:p w14:paraId="667A4422" w14:textId="77777777" w:rsidR="00395C3E" w:rsidRPr="00FD5A6A" w:rsidRDefault="00395C3E" w:rsidP="00DB6C46">
                      <w:pPr>
                        <w:jc w:val="right"/>
                        <w:rPr>
                          <w:color w:val="FFFFFF" w:themeColor="background1"/>
                          <w:sz w:val="48"/>
                          <w:szCs w:val="48"/>
                          <w:lang w:val="nn-NO"/>
                        </w:rPr>
                      </w:pPr>
                      <w:r w:rsidRPr="00FD5A6A">
                        <w:rPr>
                          <w:color w:val="FFFFFF" w:themeColor="background1"/>
                          <w:sz w:val="48"/>
                          <w:szCs w:val="48"/>
                          <w:lang w:val="nn-NO"/>
                        </w:rPr>
                        <w:t>EVALUERING AF EGNSTEATRE I DANMARK</w:t>
                      </w:r>
                    </w:p>
                    <w:p w14:paraId="7B94B326" w14:textId="77777777" w:rsidR="00395C3E" w:rsidRPr="00FD5A6A" w:rsidRDefault="00395C3E" w:rsidP="00DB6C46">
                      <w:pPr>
                        <w:jc w:val="right"/>
                        <w:rPr>
                          <w:color w:val="FFFFFF" w:themeColor="background1"/>
                          <w:sz w:val="48"/>
                          <w:szCs w:val="48"/>
                          <w:lang w:val="nn-NO"/>
                        </w:rPr>
                      </w:pPr>
                      <w:r w:rsidRPr="00FD5A6A">
                        <w:rPr>
                          <w:color w:val="FFFFFF" w:themeColor="background1"/>
                          <w:sz w:val="48"/>
                          <w:szCs w:val="48"/>
                          <w:lang w:val="nn-NO"/>
                        </w:rPr>
                        <w:t>BLACK BOX THEATRE</w:t>
                      </w:r>
                    </w:p>
                    <w:p w14:paraId="12A9C11A" w14:textId="77777777" w:rsidR="00395C3E" w:rsidRPr="00FD5A6A" w:rsidRDefault="00395C3E" w:rsidP="00FA0ED5">
                      <w:pPr>
                        <w:jc w:val="right"/>
                        <w:rPr>
                          <w:color w:val="FFFFFF" w:themeColor="background1"/>
                          <w:sz w:val="48"/>
                          <w:szCs w:val="48"/>
                          <w:lang w:val="nn-NO"/>
                        </w:rPr>
                      </w:pPr>
                    </w:p>
                    <w:p w14:paraId="1561C582" w14:textId="77777777" w:rsidR="00395C3E" w:rsidRPr="00FD5A6A" w:rsidRDefault="00395C3E" w:rsidP="00FA0ED5">
                      <w:pPr>
                        <w:jc w:val="right"/>
                        <w:rPr>
                          <w:color w:val="FFFFFF" w:themeColor="background1"/>
                          <w:sz w:val="48"/>
                          <w:szCs w:val="48"/>
                          <w:lang w:val="nn-NO"/>
                        </w:rPr>
                      </w:pPr>
                    </w:p>
                    <w:p w14:paraId="62E2D581" w14:textId="77777777" w:rsidR="00395C3E" w:rsidRPr="00FD5A6A" w:rsidRDefault="00395C3E" w:rsidP="00FA0ED5">
                      <w:pPr>
                        <w:jc w:val="right"/>
                        <w:rPr>
                          <w:i/>
                          <w:color w:val="FFFFFF" w:themeColor="background1"/>
                          <w:sz w:val="32"/>
                          <w:szCs w:val="32"/>
                          <w:lang w:val="nn-NO"/>
                        </w:rPr>
                      </w:pPr>
                      <w:r w:rsidRPr="00FD5A6A">
                        <w:rPr>
                          <w:i/>
                          <w:color w:val="FFFFFF" w:themeColor="background1"/>
                          <w:sz w:val="32"/>
                          <w:szCs w:val="32"/>
                          <w:lang w:val="nn-NO"/>
                        </w:rPr>
                        <w:t>Lene Bak</w:t>
                      </w:r>
                    </w:p>
                    <w:p w14:paraId="3325A86E" w14:textId="77777777" w:rsidR="00395C3E" w:rsidRPr="00376B61" w:rsidRDefault="00395C3E" w:rsidP="00FA0ED5">
                      <w:pPr>
                        <w:jc w:val="right"/>
                        <w:rPr>
                          <w:i/>
                          <w:color w:val="FFFFFF" w:themeColor="background1"/>
                          <w:sz w:val="32"/>
                          <w:szCs w:val="32"/>
                          <w:lang w:val="en-US"/>
                        </w:rPr>
                      </w:pPr>
                      <w:r w:rsidRPr="00376B61">
                        <w:rPr>
                          <w:i/>
                          <w:color w:val="FFFFFF" w:themeColor="background1"/>
                          <w:sz w:val="32"/>
                          <w:szCs w:val="32"/>
                          <w:lang w:val="en-US"/>
                        </w:rPr>
                        <w:t>August 2017</w:t>
                      </w:r>
                    </w:p>
                  </w:txbxContent>
                </v:textbox>
              </v:shape>
            </w:pict>
          </mc:Fallback>
        </mc:AlternateContent>
      </w:r>
      <w:r w:rsidR="005E2222">
        <w:rPr>
          <w:noProof/>
          <w:lang w:eastAsia="da-DK"/>
        </w:rPr>
        <w:drawing>
          <wp:anchor distT="0" distB="0" distL="114300" distR="114300" simplePos="0" relativeHeight="251658240" behindDoc="0" locked="0" layoutInCell="1" allowOverlap="1" wp14:anchorId="59BEBE04" wp14:editId="058C9252">
            <wp:simplePos x="0" y="0"/>
            <wp:positionH relativeFrom="column">
              <wp:posOffset>-796290</wp:posOffset>
            </wp:positionH>
            <wp:positionV relativeFrom="page">
              <wp:posOffset>2016760</wp:posOffset>
            </wp:positionV>
            <wp:extent cx="7811770" cy="8679180"/>
            <wp:effectExtent l="19050" t="19050" r="17780" b="266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4544546.jp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11770" cy="8679180"/>
                    </a:xfrm>
                    <a:prstGeom prst="rect">
                      <a:avLst/>
                    </a:prstGeom>
                    <a:solidFill>
                      <a:srgbClr val="336600"/>
                    </a:solidFill>
                    <a:ln>
                      <a:solidFill>
                        <a:srgbClr val="006600"/>
                      </a:solidFill>
                    </a:ln>
                  </pic:spPr>
                </pic:pic>
              </a:graphicData>
            </a:graphic>
          </wp:anchor>
        </w:drawing>
      </w:r>
    </w:p>
    <w:p w14:paraId="4901E151" w14:textId="77777777" w:rsidR="005E2222" w:rsidRPr="005E2222" w:rsidRDefault="005E2222" w:rsidP="005E2222">
      <w:pPr>
        <w:sectPr w:rsidR="005E2222" w:rsidRPr="005E2222" w:rsidSect="0066162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p>
    <w:p w14:paraId="682DB877" w14:textId="77777777" w:rsidR="00351621" w:rsidRPr="003035E4" w:rsidRDefault="00351621" w:rsidP="00351621">
      <w:pPr>
        <w:rPr>
          <w:color w:val="403152" w:themeColor="accent3"/>
          <w:sz w:val="28"/>
          <w:szCs w:val="28"/>
        </w:rPr>
      </w:pPr>
      <w:r w:rsidRPr="003035E4">
        <w:rPr>
          <w:color w:val="403152" w:themeColor="accent3"/>
          <w:sz w:val="28"/>
          <w:szCs w:val="28"/>
        </w:rPr>
        <w:lastRenderedPageBreak/>
        <w:t>INDHOLD</w:t>
      </w:r>
    </w:p>
    <w:p w14:paraId="3D0A977B" w14:textId="77777777" w:rsidR="00351621" w:rsidRDefault="00351621" w:rsidP="00351621"/>
    <w:p w14:paraId="5A6212E3" w14:textId="77777777" w:rsidR="006648E7" w:rsidRDefault="00CB6630">
      <w:pPr>
        <w:pStyle w:val="Indholdsfortegnelse1"/>
        <w:tabs>
          <w:tab w:val="left" w:pos="440"/>
          <w:tab w:val="right" w:leader="dot" w:pos="9628"/>
        </w:tabs>
        <w:rPr>
          <w:rFonts w:eastAsiaTheme="minorEastAsia"/>
          <w:noProof/>
          <w:lang w:eastAsia="da-DK"/>
        </w:rPr>
      </w:pPr>
      <w:r w:rsidRPr="00351621">
        <w:fldChar w:fldCharType="begin"/>
      </w:r>
      <w:r w:rsidR="00351621" w:rsidRPr="00351621">
        <w:rPr>
          <w:lang w:val="en-GB"/>
        </w:rPr>
        <w:instrText xml:space="preserve"> TOC \o "1-3" \h \z \u </w:instrText>
      </w:r>
      <w:r w:rsidRPr="00351621">
        <w:fldChar w:fldCharType="separate"/>
      </w:r>
      <w:hyperlink w:anchor="_Toc484674617" w:history="1">
        <w:r w:rsidR="006648E7" w:rsidRPr="00324D09">
          <w:rPr>
            <w:rStyle w:val="Hyperlink"/>
            <w:noProof/>
          </w:rPr>
          <w:t>1</w:t>
        </w:r>
        <w:r w:rsidR="006648E7">
          <w:rPr>
            <w:rFonts w:eastAsiaTheme="minorEastAsia"/>
            <w:noProof/>
            <w:lang w:eastAsia="da-DK"/>
          </w:rPr>
          <w:tab/>
        </w:r>
        <w:r w:rsidR="006648E7" w:rsidRPr="00324D09">
          <w:rPr>
            <w:rStyle w:val="Hyperlink"/>
            <w:noProof/>
          </w:rPr>
          <w:t>Indledning</w:t>
        </w:r>
        <w:r w:rsidR="006648E7">
          <w:rPr>
            <w:noProof/>
            <w:webHidden/>
          </w:rPr>
          <w:tab/>
        </w:r>
        <w:r w:rsidR="006648E7">
          <w:rPr>
            <w:noProof/>
            <w:webHidden/>
          </w:rPr>
          <w:fldChar w:fldCharType="begin"/>
        </w:r>
        <w:r w:rsidR="006648E7">
          <w:rPr>
            <w:noProof/>
            <w:webHidden/>
          </w:rPr>
          <w:instrText xml:space="preserve"> PAGEREF _Toc484674617 \h </w:instrText>
        </w:r>
        <w:r w:rsidR="006648E7">
          <w:rPr>
            <w:noProof/>
            <w:webHidden/>
          </w:rPr>
        </w:r>
        <w:r w:rsidR="006648E7">
          <w:rPr>
            <w:noProof/>
            <w:webHidden/>
          </w:rPr>
          <w:fldChar w:fldCharType="separate"/>
        </w:r>
        <w:r w:rsidR="006648E7">
          <w:rPr>
            <w:noProof/>
            <w:webHidden/>
          </w:rPr>
          <w:t>3</w:t>
        </w:r>
        <w:r w:rsidR="006648E7">
          <w:rPr>
            <w:noProof/>
            <w:webHidden/>
          </w:rPr>
          <w:fldChar w:fldCharType="end"/>
        </w:r>
      </w:hyperlink>
    </w:p>
    <w:p w14:paraId="7F7B7A0F" w14:textId="77777777" w:rsidR="006648E7" w:rsidRDefault="00877FAB">
      <w:pPr>
        <w:pStyle w:val="Indholdsfortegnelse1"/>
        <w:tabs>
          <w:tab w:val="left" w:pos="440"/>
          <w:tab w:val="right" w:leader="dot" w:pos="9628"/>
        </w:tabs>
        <w:rPr>
          <w:rFonts w:eastAsiaTheme="minorEastAsia"/>
          <w:noProof/>
          <w:lang w:eastAsia="da-DK"/>
        </w:rPr>
      </w:pPr>
      <w:hyperlink w:anchor="_Toc484674618" w:history="1">
        <w:r w:rsidR="006648E7" w:rsidRPr="00324D09">
          <w:rPr>
            <w:rStyle w:val="Hyperlink"/>
            <w:noProof/>
          </w:rPr>
          <w:t>2</w:t>
        </w:r>
        <w:r w:rsidR="006648E7">
          <w:rPr>
            <w:rFonts w:eastAsiaTheme="minorEastAsia"/>
            <w:noProof/>
            <w:lang w:eastAsia="da-DK"/>
          </w:rPr>
          <w:tab/>
        </w:r>
        <w:r w:rsidR="006648E7" w:rsidRPr="00324D09">
          <w:rPr>
            <w:rStyle w:val="Hyperlink"/>
            <w:noProof/>
          </w:rPr>
          <w:t>Resumé af konklusioner og anbefalinger</w:t>
        </w:r>
        <w:r w:rsidR="006648E7">
          <w:rPr>
            <w:noProof/>
            <w:webHidden/>
          </w:rPr>
          <w:tab/>
        </w:r>
        <w:r w:rsidR="006648E7">
          <w:rPr>
            <w:noProof/>
            <w:webHidden/>
          </w:rPr>
          <w:fldChar w:fldCharType="begin"/>
        </w:r>
        <w:r w:rsidR="006648E7">
          <w:rPr>
            <w:noProof/>
            <w:webHidden/>
          </w:rPr>
          <w:instrText xml:space="preserve"> PAGEREF _Toc484674618 \h </w:instrText>
        </w:r>
        <w:r w:rsidR="006648E7">
          <w:rPr>
            <w:noProof/>
            <w:webHidden/>
          </w:rPr>
        </w:r>
        <w:r w:rsidR="006648E7">
          <w:rPr>
            <w:noProof/>
            <w:webHidden/>
          </w:rPr>
          <w:fldChar w:fldCharType="separate"/>
        </w:r>
        <w:r w:rsidR="006648E7">
          <w:rPr>
            <w:noProof/>
            <w:webHidden/>
          </w:rPr>
          <w:t>4</w:t>
        </w:r>
        <w:r w:rsidR="006648E7">
          <w:rPr>
            <w:noProof/>
            <w:webHidden/>
          </w:rPr>
          <w:fldChar w:fldCharType="end"/>
        </w:r>
      </w:hyperlink>
    </w:p>
    <w:p w14:paraId="3F068B5C" w14:textId="77777777" w:rsidR="006648E7" w:rsidRDefault="00877FAB">
      <w:pPr>
        <w:pStyle w:val="Indholdsfortegnelse1"/>
        <w:tabs>
          <w:tab w:val="left" w:pos="440"/>
          <w:tab w:val="right" w:leader="dot" w:pos="9628"/>
        </w:tabs>
        <w:rPr>
          <w:rFonts w:eastAsiaTheme="minorEastAsia"/>
          <w:noProof/>
          <w:lang w:eastAsia="da-DK"/>
        </w:rPr>
      </w:pPr>
      <w:hyperlink w:anchor="_Toc484674619" w:history="1">
        <w:r w:rsidR="006648E7" w:rsidRPr="00324D09">
          <w:rPr>
            <w:rStyle w:val="Hyperlink"/>
            <w:noProof/>
          </w:rPr>
          <w:t>3</w:t>
        </w:r>
        <w:r w:rsidR="006648E7">
          <w:rPr>
            <w:rFonts w:eastAsiaTheme="minorEastAsia"/>
            <w:noProof/>
            <w:lang w:eastAsia="da-DK"/>
          </w:rPr>
          <w:tab/>
        </w:r>
        <w:r w:rsidR="006648E7" w:rsidRPr="00324D09">
          <w:rPr>
            <w:rStyle w:val="Hyperlink"/>
            <w:noProof/>
          </w:rPr>
          <w:t>Rammer og tal</w:t>
        </w:r>
        <w:r w:rsidR="006648E7">
          <w:rPr>
            <w:noProof/>
            <w:webHidden/>
          </w:rPr>
          <w:tab/>
        </w:r>
        <w:r w:rsidR="006648E7">
          <w:rPr>
            <w:noProof/>
            <w:webHidden/>
          </w:rPr>
          <w:fldChar w:fldCharType="begin"/>
        </w:r>
        <w:r w:rsidR="006648E7">
          <w:rPr>
            <w:noProof/>
            <w:webHidden/>
          </w:rPr>
          <w:instrText xml:space="preserve"> PAGEREF _Toc484674619 \h </w:instrText>
        </w:r>
        <w:r w:rsidR="006648E7">
          <w:rPr>
            <w:noProof/>
            <w:webHidden/>
          </w:rPr>
        </w:r>
        <w:r w:rsidR="006648E7">
          <w:rPr>
            <w:noProof/>
            <w:webHidden/>
          </w:rPr>
          <w:fldChar w:fldCharType="separate"/>
        </w:r>
        <w:r w:rsidR="006648E7">
          <w:rPr>
            <w:noProof/>
            <w:webHidden/>
          </w:rPr>
          <w:t>6</w:t>
        </w:r>
        <w:r w:rsidR="006648E7">
          <w:rPr>
            <w:noProof/>
            <w:webHidden/>
          </w:rPr>
          <w:fldChar w:fldCharType="end"/>
        </w:r>
      </w:hyperlink>
    </w:p>
    <w:p w14:paraId="791D1046" w14:textId="77777777" w:rsidR="006648E7" w:rsidRDefault="00877FAB">
      <w:pPr>
        <w:pStyle w:val="Indholdsfortegnelse2"/>
        <w:tabs>
          <w:tab w:val="left" w:pos="880"/>
          <w:tab w:val="right" w:leader="dot" w:pos="9628"/>
        </w:tabs>
        <w:rPr>
          <w:rFonts w:eastAsiaTheme="minorEastAsia"/>
          <w:noProof/>
          <w:lang w:eastAsia="da-DK"/>
        </w:rPr>
      </w:pPr>
      <w:hyperlink w:anchor="_Toc484674620" w:history="1">
        <w:r w:rsidR="006648E7" w:rsidRPr="00324D09">
          <w:rPr>
            <w:rStyle w:val="Hyperlink"/>
            <w:noProof/>
          </w:rPr>
          <w:t>3.1</w:t>
        </w:r>
        <w:r w:rsidR="006648E7">
          <w:rPr>
            <w:rFonts w:eastAsiaTheme="minorEastAsia"/>
            <w:noProof/>
            <w:lang w:eastAsia="da-DK"/>
          </w:rPr>
          <w:tab/>
        </w:r>
        <w:r w:rsidR="006648E7" w:rsidRPr="00324D09">
          <w:rPr>
            <w:rStyle w:val="Hyperlink"/>
            <w:noProof/>
          </w:rPr>
          <w:t>Aktivitet og organisation</w:t>
        </w:r>
        <w:r w:rsidR="006648E7">
          <w:rPr>
            <w:noProof/>
            <w:webHidden/>
          </w:rPr>
          <w:tab/>
        </w:r>
        <w:r w:rsidR="006648E7">
          <w:rPr>
            <w:noProof/>
            <w:webHidden/>
          </w:rPr>
          <w:fldChar w:fldCharType="begin"/>
        </w:r>
        <w:r w:rsidR="006648E7">
          <w:rPr>
            <w:noProof/>
            <w:webHidden/>
          </w:rPr>
          <w:instrText xml:space="preserve"> PAGEREF _Toc484674620 \h </w:instrText>
        </w:r>
        <w:r w:rsidR="006648E7">
          <w:rPr>
            <w:noProof/>
            <w:webHidden/>
          </w:rPr>
        </w:r>
        <w:r w:rsidR="006648E7">
          <w:rPr>
            <w:noProof/>
            <w:webHidden/>
          </w:rPr>
          <w:fldChar w:fldCharType="separate"/>
        </w:r>
        <w:r w:rsidR="006648E7">
          <w:rPr>
            <w:noProof/>
            <w:webHidden/>
          </w:rPr>
          <w:t>6</w:t>
        </w:r>
        <w:r w:rsidR="006648E7">
          <w:rPr>
            <w:noProof/>
            <w:webHidden/>
          </w:rPr>
          <w:fldChar w:fldCharType="end"/>
        </w:r>
      </w:hyperlink>
    </w:p>
    <w:p w14:paraId="6B06550C" w14:textId="77777777" w:rsidR="006648E7" w:rsidRDefault="00877FAB">
      <w:pPr>
        <w:pStyle w:val="Indholdsfortegnelse2"/>
        <w:tabs>
          <w:tab w:val="left" w:pos="880"/>
          <w:tab w:val="right" w:leader="dot" w:pos="9628"/>
        </w:tabs>
        <w:rPr>
          <w:rFonts w:eastAsiaTheme="minorEastAsia"/>
          <w:noProof/>
          <w:lang w:eastAsia="da-DK"/>
        </w:rPr>
      </w:pPr>
      <w:hyperlink w:anchor="_Toc484674621" w:history="1">
        <w:r w:rsidR="006648E7" w:rsidRPr="00324D09">
          <w:rPr>
            <w:rStyle w:val="Hyperlink"/>
            <w:noProof/>
          </w:rPr>
          <w:t>3.2</w:t>
        </w:r>
        <w:r w:rsidR="006648E7">
          <w:rPr>
            <w:rFonts w:eastAsiaTheme="minorEastAsia"/>
            <w:noProof/>
            <w:lang w:eastAsia="da-DK"/>
          </w:rPr>
          <w:tab/>
        </w:r>
        <w:r w:rsidR="006648E7" w:rsidRPr="00324D09">
          <w:rPr>
            <w:rStyle w:val="Hyperlink"/>
            <w:noProof/>
          </w:rPr>
          <w:t>Økonomi</w:t>
        </w:r>
        <w:r w:rsidR="006648E7">
          <w:rPr>
            <w:noProof/>
            <w:webHidden/>
          </w:rPr>
          <w:tab/>
        </w:r>
        <w:r w:rsidR="006648E7">
          <w:rPr>
            <w:noProof/>
            <w:webHidden/>
          </w:rPr>
          <w:fldChar w:fldCharType="begin"/>
        </w:r>
        <w:r w:rsidR="006648E7">
          <w:rPr>
            <w:noProof/>
            <w:webHidden/>
          </w:rPr>
          <w:instrText xml:space="preserve"> PAGEREF _Toc484674621 \h </w:instrText>
        </w:r>
        <w:r w:rsidR="006648E7">
          <w:rPr>
            <w:noProof/>
            <w:webHidden/>
          </w:rPr>
        </w:r>
        <w:r w:rsidR="006648E7">
          <w:rPr>
            <w:noProof/>
            <w:webHidden/>
          </w:rPr>
          <w:fldChar w:fldCharType="separate"/>
        </w:r>
        <w:r w:rsidR="006648E7">
          <w:rPr>
            <w:noProof/>
            <w:webHidden/>
          </w:rPr>
          <w:t>7</w:t>
        </w:r>
        <w:r w:rsidR="006648E7">
          <w:rPr>
            <w:noProof/>
            <w:webHidden/>
          </w:rPr>
          <w:fldChar w:fldCharType="end"/>
        </w:r>
      </w:hyperlink>
    </w:p>
    <w:p w14:paraId="6CF9A4DE" w14:textId="77777777" w:rsidR="006648E7" w:rsidRDefault="00877FAB">
      <w:pPr>
        <w:pStyle w:val="Indholdsfortegnelse2"/>
        <w:tabs>
          <w:tab w:val="left" w:pos="880"/>
          <w:tab w:val="right" w:leader="dot" w:pos="9628"/>
        </w:tabs>
        <w:rPr>
          <w:rFonts w:eastAsiaTheme="minorEastAsia"/>
          <w:noProof/>
          <w:lang w:eastAsia="da-DK"/>
        </w:rPr>
      </w:pPr>
      <w:hyperlink w:anchor="_Toc484674622" w:history="1">
        <w:r w:rsidR="006648E7" w:rsidRPr="00324D09">
          <w:rPr>
            <w:rStyle w:val="Hyperlink"/>
            <w:noProof/>
          </w:rPr>
          <w:t>3.3</w:t>
        </w:r>
        <w:r w:rsidR="006648E7">
          <w:rPr>
            <w:rFonts w:eastAsiaTheme="minorEastAsia"/>
            <w:noProof/>
            <w:lang w:eastAsia="da-DK"/>
          </w:rPr>
          <w:tab/>
        </w:r>
        <w:r w:rsidR="006648E7" w:rsidRPr="00324D09">
          <w:rPr>
            <w:rStyle w:val="Hyperlink"/>
            <w:noProof/>
          </w:rPr>
          <w:t>Vurdering af rammer og tal</w:t>
        </w:r>
        <w:r w:rsidR="006648E7">
          <w:rPr>
            <w:noProof/>
            <w:webHidden/>
          </w:rPr>
          <w:tab/>
        </w:r>
        <w:r w:rsidR="006648E7">
          <w:rPr>
            <w:noProof/>
            <w:webHidden/>
          </w:rPr>
          <w:fldChar w:fldCharType="begin"/>
        </w:r>
        <w:r w:rsidR="006648E7">
          <w:rPr>
            <w:noProof/>
            <w:webHidden/>
          </w:rPr>
          <w:instrText xml:space="preserve"> PAGEREF _Toc484674622 \h </w:instrText>
        </w:r>
        <w:r w:rsidR="006648E7">
          <w:rPr>
            <w:noProof/>
            <w:webHidden/>
          </w:rPr>
        </w:r>
        <w:r w:rsidR="006648E7">
          <w:rPr>
            <w:noProof/>
            <w:webHidden/>
          </w:rPr>
          <w:fldChar w:fldCharType="separate"/>
        </w:r>
        <w:r w:rsidR="006648E7">
          <w:rPr>
            <w:noProof/>
            <w:webHidden/>
          </w:rPr>
          <w:t>8</w:t>
        </w:r>
        <w:r w:rsidR="006648E7">
          <w:rPr>
            <w:noProof/>
            <w:webHidden/>
          </w:rPr>
          <w:fldChar w:fldCharType="end"/>
        </w:r>
      </w:hyperlink>
    </w:p>
    <w:p w14:paraId="4036CE10" w14:textId="77777777" w:rsidR="006648E7" w:rsidRDefault="00877FAB">
      <w:pPr>
        <w:pStyle w:val="Indholdsfortegnelse1"/>
        <w:tabs>
          <w:tab w:val="left" w:pos="440"/>
          <w:tab w:val="right" w:leader="dot" w:pos="9628"/>
        </w:tabs>
        <w:rPr>
          <w:rFonts w:eastAsiaTheme="minorEastAsia"/>
          <w:noProof/>
          <w:lang w:eastAsia="da-DK"/>
        </w:rPr>
      </w:pPr>
      <w:hyperlink w:anchor="_Toc484674623" w:history="1">
        <w:r w:rsidR="006648E7" w:rsidRPr="00324D09">
          <w:rPr>
            <w:rStyle w:val="Hyperlink"/>
            <w:noProof/>
          </w:rPr>
          <w:t>4</w:t>
        </w:r>
        <w:r w:rsidR="006648E7">
          <w:rPr>
            <w:rFonts w:eastAsiaTheme="minorEastAsia"/>
            <w:noProof/>
            <w:lang w:eastAsia="da-DK"/>
          </w:rPr>
          <w:tab/>
        </w:r>
        <w:r w:rsidR="006648E7" w:rsidRPr="00324D09">
          <w:rPr>
            <w:rStyle w:val="Hyperlink"/>
            <w:noProof/>
          </w:rPr>
          <w:t>Kunstnerisk aktivitet</w:t>
        </w:r>
        <w:r w:rsidR="006648E7">
          <w:rPr>
            <w:noProof/>
            <w:webHidden/>
          </w:rPr>
          <w:tab/>
        </w:r>
        <w:r w:rsidR="006648E7">
          <w:rPr>
            <w:noProof/>
            <w:webHidden/>
          </w:rPr>
          <w:fldChar w:fldCharType="begin"/>
        </w:r>
        <w:r w:rsidR="006648E7">
          <w:rPr>
            <w:noProof/>
            <w:webHidden/>
          </w:rPr>
          <w:instrText xml:space="preserve"> PAGEREF _Toc484674623 \h </w:instrText>
        </w:r>
        <w:r w:rsidR="006648E7">
          <w:rPr>
            <w:noProof/>
            <w:webHidden/>
          </w:rPr>
        </w:r>
        <w:r w:rsidR="006648E7">
          <w:rPr>
            <w:noProof/>
            <w:webHidden/>
          </w:rPr>
          <w:fldChar w:fldCharType="separate"/>
        </w:r>
        <w:r w:rsidR="006648E7">
          <w:rPr>
            <w:noProof/>
            <w:webHidden/>
          </w:rPr>
          <w:t>10</w:t>
        </w:r>
        <w:r w:rsidR="006648E7">
          <w:rPr>
            <w:noProof/>
            <w:webHidden/>
          </w:rPr>
          <w:fldChar w:fldCharType="end"/>
        </w:r>
      </w:hyperlink>
    </w:p>
    <w:p w14:paraId="118C0791" w14:textId="77777777" w:rsidR="006648E7" w:rsidRDefault="00877FAB">
      <w:pPr>
        <w:pStyle w:val="Indholdsfortegnelse2"/>
        <w:tabs>
          <w:tab w:val="left" w:pos="880"/>
          <w:tab w:val="right" w:leader="dot" w:pos="9628"/>
        </w:tabs>
        <w:rPr>
          <w:rFonts w:eastAsiaTheme="minorEastAsia"/>
          <w:noProof/>
          <w:lang w:eastAsia="da-DK"/>
        </w:rPr>
      </w:pPr>
      <w:hyperlink w:anchor="_Toc484674624" w:history="1">
        <w:r w:rsidR="006648E7" w:rsidRPr="00324D09">
          <w:rPr>
            <w:rStyle w:val="Hyperlink"/>
            <w:noProof/>
          </w:rPr>
          <w:t>4.1</w:t>
        </w:r>
        <w:r w:rsidR="006648E7">
          <w:rPr>
            <w:rFonts w:eastAsiaTheme="minorEastAsia"/>
            <w:noProof/>
            <w:lang w:eastAsia="da-DK"/>
          </w:rPr>
          <w:tab/>
        </w:r>
        <w:r w:rsidR="006648E7" w:rsidRPr="00324D09">
          <w:rPr>
            <w:rStyle w:val="Hyperlink"/>
            <w:noProof/>
          </w:rPr>
          <w:t>Teatrets tradition og forestillinger</w:t>
        </w:r>
        <w:r w:rsidR="006648E7">
          <w:rPr>
            <w:noProof/>
            <w:webHidden/>
          </w:rPr>
          <w:tab/>
        </w:r>
        <w:r w:rsidR="006648E7">
          <w:rPr>
            <w:noProof/>
            <w:webHidden/>
          </w:rPr>
          <w:fldChar w:fldCharType="begin"/>
        </w:r>
        <w:r w:rsidR="006648E7">
          <w:rPr>
            <w:noProof/>
            <w:webHidden/>
          </w:rPr>
          <w:instrText xml:space="preserve"> PAGEREF _Toc484674624 \h </w:instrText>
        </w:r>
        <w:r w:rsidR="006648E7">
          <w:rPr>
            <w:noProof/>
            <w:webHidden/>
          </w:rPr>
        </w:r>
        <w:r w:rsidR="006648E7">
          <w:rPr>
            <w:noProof/>
            <w:webHidden/>
          </w:rPr>
          <w:fldChar w:fldCharType="separate"/>
        </w:r>
        <w:r w:rsidR="006648E7">
          <w:rPr>
            <w:noProof/>
            <w:webHidden/>
          </w:rPr>
          <w:t>10</w:t>
        </w:r>
        <w:r w:rsidR="006648E7">
          <w:rPr>
            <w:noProof/>
            <w:webHidden/>
          </w:rPr>
          <w:fldChar w:fldCharType="end"/>
        </w:r>
      </w:hyperlink>
    </w:p>
    <w:p w14:paraId="440B11A7" w14:textId="77777777" w:rsidR="006648E7" w:rsidRDefault="00877FAB">
      <w:pPr>
        <w:pStyle w:val="Indholdsfortegnelse2"/>
        <w:tabs>
          <w:tab w:val="left" w:pos="880"/>
          <w:tab w:val="right" w:leader="dot" w:pos="9628"/>
        </w:tabs>
        <w:rPr>
          <w:rFonts w:eastAsiaTheme="minorEastAsia"/>
          <w:noProof/>
          <w:lang w:eastAsia="da-DK"/>
        </w:rPr>
      </w:pPr>
      <w:hyperlink w:anchor="_Toc484674625" w:history="1">
        <w:r w:rsidR="006648E7" w:rsidRPr="00324D09">
          <w:rPr>
            <w:rStyle w:val="Hyperlink"/>
            <w:noProof/>
          </w:rPr>
          <w:t>4.2</w:t>
        </w:r>
        <w:r w:rsidR="006648E7">
          <w:rPr>
            <w:rFonts w:eastAsiaTheme="minorEastAsia"/>
            <w:noProof/>
            <w:lang w:eastAsia="da-DK"/>
          </w:rPr>
          <w:tab/>
        </w:r>
        <w:r w:rsidR="006648E7" w:rsidRPr="00324D09">
          <w:rPr>
            <w:rStyle w:val="Hyperlink"/>
            <w:noProof/>
          </w:rPr>
          <w:t>Forestillinger</w:t>
        </w:r>
        <w:r w:rsidR="006648E7">
          <w:rPr>
            <w:noProof/>
            <w:webHidden/>
          </w:rPr>
          <w:tab/>
        </w:r>
        <w:r w:rsidR="006648E7">
          <w:rPr>
            <w:noProof/>
            <w:webHidden/>
          </w:rPr>
          <w:fldChar w:fldCharType="begin"/>
        </w:r>
        <w:r w:rsidR="006648E7">
          <w:rPr>
            <w:noProof/>
            <w:webHidden/>
          </w:rPr>
          <w:instrText xml:space="preserve"> PAGEREF _Toc484674625 \h </w:instrText>
        </w:r>
        <w:r w:rsidR="006648E7">
          <w:rPr>
            <w:noProof/>
            <w:webHidden/>
          </w:rPr>
        </w:r>
        <w:r w:rsidR="006648E7">
          <w:rPr>
            <w:noProof/>
            <w:webHidden/>
          </w:rPr>
          <w:fldChar w:fldCharType="separate"/>
        </w:r>
        <w:r w:rsidR="006648E7">
          <w:rPr>
            <w:noProof/>
            <w:webHidden/>
          </w:rPr>
          <w:t>12</w:t>
        </w:r>
        <w:r w:rsidR="006648E7">
          <w:rPr>
            <w:noProof/>
            <w:webHidden/>
          </w:rPr>
          <w:fldChar w:fldCharType="end"/>
        </w:r>
      </w:hyperlink>
    </w:p>
    <w:p w14:paraId="77B1148C" w14:textId="77777777" w:rsidR="006648E7" w:rsidRDefault="00877FAB">
      <w:pPr>
        <w:pStyle w:val="Indholdsfortegnelse2"/>
        <w:tabs>
          <w:tab w:val="left" w:pos="880"/>
          <w:tab w:val="right" w:leader="dot" w:pos="9628"/>
        </w:tabs>
        <w:rPr>
          <w:rFonts w:eastAsiaTheme="minorEastAsia"/>
          <w:noProof/>
          <w:lang w:eastAsia="da-DK"/>
        </w:rPr>
      </w:pPr>
      <w:hyperlink w:anchor="_Toc484674626" w:history="1">
        <w:r w:rsidR="006648E7" w:rsidRPr="00324D09">
          <w:rPr>
            <w:rStyle w:val="Hyperlink"/>
            <w:noProof/>
          </w:rPr>
          <w:t>4.3</w:t>
        </w:r>
        <w:r w:rsidR="006648E7">
          <w:rPr>
            <w:rFonts w:eastAsiaTheme="minorEastAsia"/>
            <w:noProof/>
            <w:lang w:eastAsia="da-DK"/>
          </w:rPr>
          <w:tab/>
        </w:r>
        <w:r w:rsidR="006648E7" w:rsidRPr="00324D09">
          <w:rPr>
            <w:rStyle w:val="Hyperlink"/>
            <w:noProof/>
          </w:rPr>
          <w:t>Vurdering af den kunstneriske aktivitet</w:t>
        </w:r>
        <w:r w:rsidR="006648E7">
          <w:rPr>
            <w:noProof/>
            <w:webHidden/>
          </w:rPr>
          <w:tab/>
        </w:r>
        <w:r w:rsidR="006648E7">
          <w:rPr>
            <w:noProof/>
            <w:webHidden/>
          </w:rPr>
          <w:fldChar w:fldCharType="begin"/>
        </w:r>
        <w:r w:rsidR="006648E7">
          <w:rPr>
            <w:noProof/>
            <w:webHidden/>
          </w:rPr>
          <w:instrText xml:space="preserve"> PAGEREF _Toc484674626 \h </w:instrText>
        </w:r>
        <w:r w:rsidR="006648E7">
          <w:rPr>
            <w:noProof/>
            <w:webHidden/>
          </w:rPr>
        </w:r>
        <w:r w:rsidR="006648E7">
          <w:rPr>
            <w:noProof/>
            <w:webHidden/>
          </w:rPr>
          <w:fldChar w:fldCharType="separate"/>
        </w:r>
        <w:r w:rsidR="006648E7">
          <w:rPr>
            <w:noProof/>
            <w:webHidden/>
          </w:rPr>
          <w:t>13</w:t>
        </w:r>
        <w:r w:rsidR="006648E7">
          <w:rPr>
            <w:noProof/>
            <w:webHidden/>
          </w:rPr>
          <w:fldChar w:fldCharType="end"/>
        </w:r>
      </w:hyperlink>
    </w:p>
    <w:p w14:paraId="5F6E39BD" w14:textId="77777777" w:rsidR="006648E7" w:rsidRDefault="00877FAB">
      <w:pPr>
        <w:pStyle w:val="Indholdsfortegnelse1"/>
        <w:tabs>
          <w:tab w:val="left" w:pos="440"/>
          <w:tab w:val="right" w:leader="dot" w:pos="9628"/>
        </w:tabs>
        <w:rPr>
          <w:rFonts w:eastAsiaTheme="minorEastAsia"/>
          <w:noProof/>
          <w:lang w:eastAsia="da-DK"/>
        </w:rPr>
      </w:pPr>
      <w:hyperlink w:anchor="_Toc484674627" w:history="1">
        <w:r w:rsidR="006648E7" w:rsidRPr="00324D09">
          <w:rPr>
            <w:rStyle w:val="Hyperlink"/>
            <w:noProof/>
          </w:rPr>
          <w:t>5</w:t>
        </w:r>
        <w:r w:rsidR="006648E7">
          <w:rPr>
            <w:rFonts w:eastAsiaTheme="minorEastAsia"/>
            <w:noProof/>
            <w:lang w:eastAsia="da-DK"/>
          </w:rPr>
          <w:tab/>
        </w:r>
        <w:r w:rsidR="006648E7" w:rsidRPr="00324D09">
          <w:rPr>
            <w:rStyle w:val="Hyperlink"/>
            <w:noProof/>
          </w:rPr>
          <w:t>Forankring og synlighed</w:t>
        </w:r>
        <w:r w:rsidR="006648E7">
          <w:rPr>
            <w:noProof/>
            <w:webHidden/>
          </w:rPr>
          <w:tab/>
        </w:r>
        <w:r w:rsidR="006648E7">
          <w:rPr>
            <w:noProof/>
            <w:webHidden/>
          </w:rPr>
          <w:fldChar w:fldCharType="begin"/>
        </w:r>
        <w:r w:rsidR="006648E7">
          <w:rPr>
            <w:noProof/>
            <w:webHidden/>
          </w:rPr>
          <w:instrText xml:space="preserve"> PAGEREF _Toc484674627 \h </w:instrText>
        </w:r>
        <w:r w:rsidR="006648E7">
          <w:rPr>
            <w:noProof/>
            <w:webHidden/>
          </w:rPr>
        </w:r>
        <w:r w:rsidR="006648E7">
          <w:rPr>
            <w:noProof/>
            <w:webHidden/>
          </w:rPr>
          <w:fldChar w:fldCharType="separate"/>
        </w:r>
        <w:r w:rsidR="006648E7">
          <w:rPr>
            <w:noProof/>
            <w:webHidden/>
          </w:rPr>
          <w:t>15</w:t>
        </w:r>
        <w:r w:rsidR="006648E7">
          <w:rPr>
            <w:noProof/>
            <w:webHidden/>
          </w:rPr>
          <w:fldChar w:fldCharType="end"/>
        </w:r>
      </w:hyperlink>
    </w:p>
    <w:p w14:paraId="22AA03AB" w14:textId="77777777" w:rsidR="006648E7" w:rsidRDefault="00877FAB">
      <w:pPr>
        <w:pStyle w:val="Indholdsfortegnelse2"/>
        <w:tabs>
          <w:tab w:val="left" w:pos="880"/>
          <w:tab w:val="right" w:leader="dot" w:pos="9628"/>
        </w:tabs>
        <w:rPr>
          <w:rFonts w:eastAsiaTheme="minorEastAsia"/>
          <w:noProof/>
          <w:lang w:eastAsia="da-DK"/>
        </w:rPr>
      </w:pPr>
      <w:hyperlink w:anchor="_Toc484674628" w:history="1">
        <w:r w:rsidR="006648E7" w:rsidRPr="00324D09">
          <w:rPr>
            <w:rStyle w:val="Hyperlink"/>
            <w:noProof/>
          </w:rPr>
          <w:t>5.1</w:t>
        </w:r>
        <w:r w:rsidR="006648E7">
          <w:rPr>
            <w:rFonts w:eastAsiaTheme="minorEastAsia"/>
            <w:noProof/>
            <w:lang w:eastAsia="da-DK"/>
          </w:rPr>
          <w:tab/>
        </w:r>
        <w:r w:rsidR="006648E7" w:rsidRPr="00324D09">
          <w:rPr>
            <w:rStyle w:val="Hyperlink"/>
            <w:noProof/>
          </w:rPr>
          <w:t>Lokal forankring og samarbejde</w:t>
        </w:r>
        <w:r w:rsidR="006648E7">
          <w:rPr>
            <w:noProof/>
            <w:webHidden/>
          </w:rPr>
          <w:tab/>
        </w:r>
        <w:r w:rsidR="006648E7">
          <w:rPr>
            <w:noProof/>
            <w:webHidden/>
          </w:rPr>
          <w:fldChar w:fldCharType="begin"/>
        </w:r>
        <w:r w:rsidR="006648E7">
          <w:rPr>
            <w:noProof/>
            <w:webHidden/>
          </w:rPr>
          <w:instrText xml:space="preserve"> PAGEREF _Toc484674628 \h </w:instrText>
        </w:r>
        <w:r w:rsidR="006648E7">
          <w:rPr>
            <w:noProof/>
            <w:webHidden/>
          </w:rPr>
        </w:r>
        <w:r w:rsidR="006648E7">
          <w:rPr>
            <w:noProof/>
            <w:webHidden/>
          </w:rPr>
          <w:fldChar w:fldCharType="separate"/>
        </w:r>
        <w:r w:rsidR="006648E7">
          <w:rPr>
            <w:noProof/>
            <w:webHidden/>
          </w:rPr>
          <w:t>15</w:t>
        </w:r>
        <w:r w:rsidR="006648E7">
          <w:rPr>
            <w:noProof/>
            <w:webHidden/>
          </w:rPr>
          <w:fldChar w:fldCharType="end"/>
        </w:r>
      </w:hyperlink>
    </w:p>
    <w:p w14:paraId="6F5B8232" w14:textId="77777777" w:rsidR="006648E7" w:rsidRDefault="00877FAB">
      <w:pPr>
        <w:pStyle w:val="Indholdsfortegnelse2"/>
        <w:tabs>
          <w:tab w:val="left" w:pos="880"/>
          <w:tab w:val="right" w:leader="dot" w:pos="9628"/>
        </w:tabs>
        <w:rPr>
          <w:rFonts w:eastAsiaTheme="minorEastAsia"/>
          <w:noProof/>
          <w:lang w:eastAsia="da-DK"/>
        </w:rPr>
      </w:pPr>
      <w:hyperlink w:anchor="_Toc484674629" w:history="1">
        <w:r w:rsidR="006648E7" w:rsidRPr="00324D09">
          <w:rPr>
            <w:rStyle w:val="Hyperlink"/>
            <w:noProof/>
          </w:rPr>
          <w:t>5.2</w:t>
        </w:r>
        <w:r w:rsidR="006648E7">
          <w:rPr>
            <w:rFonts w:eastAsiaTheme="minorEastAsia"/>
            <w:noProof/>
            <w:lang w:eastAsia="da-DK"/>
          </w:rPr>
          <w:tab/>
        </w:r>
        <w:r w:rsidR="006648E7" w:rsidRPr="00324D09">
          <w:rPr>
            <w:rStyle w:val="Hyperlink"/>
            <w:noProof/>
          </w:rPr>
          <w:t>Kommunikation og synlighed</w:t>
        </w:r>
        <w:r w:rsidR="006648E7">
          <w:rPr>
            <w:noProof/>
            <w:webHidden/>
          </w:rPr>
          <w:tab/>
        </w:r>
        <w:r w:rsidR="006648E7">
          <w:rPr>
            <w:noProof/>
            <w:webHidden/>
          </w:rPr>
          <w:fldChar w:fldCharType="begin"/>
        </w:r>
        <w:r w:rsidR="006648E7">
          <w:rPr>
            <w:noProof/>
            <w:webHidden/>
          </w:rPr>
          <w:instrText xml:space="preserve"> PAGEREF _Toc484674629 \h </w:instrText>
        </w:r>
        <w:r w:rsidR="006648E7">
          <w:rPr>
            <w:noProof/>
            <w:webHidden/>
          </w:rPr>
        </w:r>
        <w:r w:rsidR="006648E7">
          <w:rPr>
            <w:noProof/>
            <w:webHidden/>
          </w:rPr>
          <w:fldChar w:fldCharType="separate"/>
        </w:r>
        <w:r w:rsidR="006648E7">
          <w:rPr>
            <w:noProof/>
            <w:webHidden/>
          </w:rPr>
          <w:t>15</w:t>
        </w:r>
        <w:r w:rsidR="006648E7">
          <w:rPr>
            <w:noProof/>
            <w:webHidden/>
          </w:rPr>
          <w:fldChar w:fldCharType="end"/>
        </w:r>
      </w:hyperlink>
    </w:p>
    <w:p w14:paraId="249EB885" w14:textId="77777777" w:rsidR="006648E7" w:rsidRDefault="00877FAB">
      <w:pPr>
        <w:pStyle w:val="Indholdsfortegnelse2"/>
        <w:tabs>
          <w:tab w:val="left" w:pos="880"/>
          <w:tab w:val="right" w:leader="dot" w:pos="9628"/>
        </w:tabs>
        <w:rPr>
          <w:rFonts w:eastAsiaTheme="minorEastAsia"/>
          <w:noProof/>
          <w:lang w:eastAsia="da-DK"/>
        </w:rPr>
      </w:pPr>
      <w:hyperlink w:anchor="_Toc484674630" w:history="1">
        <w:r w:rsidR="006648E7" w:rsidRPr="00324D09">
          <w:rPr>
            <w:rStyle w:val="Hyperlink"/>
            <w:noProof/>
          </w:rPr>
          <w:t>5.3</w:t>
        </w:r>
        <w:r w:rsidR="006648E7">
          <w:rPr>
            <w:rFonts w:eastAsiaTheme="minorEastAsia"/>
            <w:noProof/>
            <w:lang w:eastAsia="da-DK"/>
          </w:rPr>
          <w:tab/>
        </w:r>
        <w:r w:rsidR="006648E7" w:rsidRPr="00324D09">
          <w:rPr>
            <w:rStyle w:val="Hyperlink"/>
            <w:noProof/>
          </w:rPr>
          <w:t>Vurdering af forankring og synlighed</w:t>
        </w:r>
        <w:r w:rsidR="006648E7">
          <w:rPr>
            <w:noProof/>
            <w:webHidden/>
          </w:rPr>
          <w:tab/>
        </w:r>
        <w:r w:rsidR="006648E7">
          <w:rPr>
            <w:noProof/>
            <w:webHidden/>
          </w:rPr>
          <w:fldChar w:fldCharType="begin"/>
        </w:r>
        <w:r w:rsidR="006648E7">
          <w:rPr>
            <w:noProof/>
            <w:webHidden/>
          </w:rPr>
          <w:instrText xml:space="preserve"> PAGEREF _Toc484674630 \h </w:instrText>
        </w:r>
        <w:r w:rsidR="006648E7">
          <w:rPr>
            <w:noProof/>
            <w:webHidden/>
          </w:rPr>
        </w:r>
        <w:r w:rsidR="006648E7">
          <w:rPr>
            <w:noProof/>
            <w:webHidden/>
          </w:rPr>
          <w:fldChar w:fldCharType="separate"/>
        </w:r>
        <w:r w:rsidR="006648E7">
          <w:rPr>
            <w:noProof/>
            <w:webHidden/>
          </w:rPr>
          <w:t>16</w:t>
        </w:r>
        <w:r w:rsidR="006648E7">
          <w:rPr>
            <w:noProof/>
            <w:webHidden/>
          </w:rPr>
          <w:fldChar w:fldCharType="end"/>
        </w:r>
      </w:hyperlink>
    </w:p>
    <w:p w14:paraId="78197FA2" w14:textId="77777777" w:rsidR="006648E7" w:rsidRDefault="00877FAB">
      <w:pPr>
        <w:pStyle w:val="Indholdsfortegnelse1"/>
        <w:tabs>
          <w:tab w:val="left" w:pos="440"/>
          <w:tab w:val="right" w:leader="dot" w:pos="9628"/>
        </w:tabs>
        <w:rPr>
          <w:rFonts w:eastAsiaTheme="minorEastAsia"/>
          <w:noProof/>
          <w:lang w:eastAsia="da-DK"/>
        </w:rPr>
      </w:pPr>
      <w:hyperlink w:anchor="_Toc484674631" w:history="1">
        <w:r w:rsidR="006648E7" w:rsidRPr="00324D09">
          <w:rPr>
            <w:rStyle w:val="Hyperlink"/>
            <w:noProof/>
          </w:rPr>
          <w:t>6</w:t>
        </w:r>
        <w:r w:rsidR="006648E7">
          <w:rPr>
            <w:rFonts w:eastAsiaTheme="minorEastAsia"/>
            <w:noProof/>
            <w:lang w:eastAsia="da-DK"/>
          </w:rPr>
          <w:tab/>
        </w:r>
        <w:r w:rsidR="006648E7" w:rsidRPr="00324D09">
          <w:rPr>
            <w:rStyle w:val="Hyperlink"/>
            <w:noProof/>
          </w:rPr>
          <w:t>Metode – dataindsamling</w:t>
        </w:r>
        <w:r w:rsidR="006648E7">
          <w:rPr>
            <w:noProof/>
            <w:webHidden/>
          </w:rPr>
          <w:tab/>
        </w:r>
        <w:r w:rsidR="006648E7">
          <w:rPr>
            <w:noProof/>
            <w:webHidden/>
          </w:rPr>
          <w:fldChar w:fldCharType="begin"/>
        </w:r>
        <w:r w:rsidR="006648E7">
          <w:rPr>
            <w:noProof/>
            <w:webHidden/>
          </w:rPr>
          <w:instrText xml:space="preserve"> PAGEREF _Toc484674631 \h </w:instrText>
        </w:r>
        <w:r w:rsidR="006648E7">
          <w:rPr>
            <w:noProof/>
            <w:webHidden/>
          </w:rPr>
        </w:r>
        <w:r w:rsidR="006648E7">
          <w:rPr>
            <w:noProof/>
            <w:webHidden/>
          </w:rPr>
          <w:fldChar w:fldCharType="separate"/>
        </w:r>
        <w:r w:rsidR="006648E7">
          <w:rPr>
            <w:noProof/>
            <w:webHidden/>
          </w:rPr>
          <w:t>17</w:t>
        </w:r>
        <w:r w:rsidR="006648E7">
          <w:rPr>
            <w:noProof/>
            <w:webHidden/>
          </w:rPr>
          <w:fldChar w:fldCharType="end"/>
        </w:r>
      </w:hyperlink>
    </w:p>
    <w:p w14:paraId="05426856" w14:textId="77777777" w:rsidR="006648E7" w:rsidRDefault="00877FAB">
      <w:pPr>
        <w:pStyle w:val="Indholdsfortegnelse1"/>
        <w:tabs>
          <w:tab w:val="right" w:leader="dot" w:pos="9628"/>
        </w:tabs>
        <w:rPr>
          <w:rFonts w:eastAsiaTheme="minorEastAsia"/>
          <w:noProof/>
          <w:lang w:eastAsia="da-DK"/>
        </w:rPr>
      </w:pPr>
      <w:hyperlink w:anchor="_Toc484674632" w:history="1">
        <w:r w:rsidR="006648E7" w:rsidRPr="00324D09">
          <w:rPr>
            <w:rStyle w:val="Hyperlink"/>
            <w:noProof/>
          </w:rPr>
          <w:t>Bilag 1: Alle egnsteatres samlede omsætning i 2015</w:t>
        </w:r>
        <w:r w:rsidR="006648E7">
          <w:rPr>
            <w:noProof/>
            <w:webHidden/>
          </w:rPr>
          <w:tab/>
        </w:r>
        <w:r w:rsidR="006648E7">
          <w:rPr>
            <w:noProof/>
            <w:webHidden/>
          </w:rPr>
          <w:fldChar w:fldCharType="begin"/>
        </w:r>
        <w:r w:rsidR="006648E7">
          <w:rPr>
            <w:noProof/>
            <w:webHidden/>
          </w:rPr>
          <w:instrText xml:space="preserve"> PAGEREF _Toc484674632 \h </w:instrText>
        </w:r>
        <w:r w:rsidR="006648E7">
          <w:rPr>
            <w:noProof/>
            <w:webHidden/>
          </w:rPr>
        </w:r>
        <w:r w:rsidR="006648E7">
          <w:rPr>
            <w:noProof/>
            <w:webHidden/>
          </w:rPr>
          <w:fldChar w:fldCharType="separate"/>
        </w:r>
        <w:r w:rsidR="006648E7">
          <w:rPr>
            <w:noProof/>
            <w:webHidden/>
          </w:rPr>
          <w:t>18</w:t>
        </w:r>
        <w:r w:rsidR="006648E7">
          <w:rPr>
            <w:noProof/>
            <w:webHidden/>
          </w:rPr>
          <w:fldChar w:fldCharType="end"/>
        </w:r>
      </w:hyperlink>
    </w:p>
    <w:p w14:paraId="5FA94FBB" w14:textId="77777777" w:rsidR="006648E7" w:rsidRDefault="00877FAB">
      <w:pPr>
        <w:pStyle w:val="Indholdsfortegnelse1"/>
        <w:tabs>
          <w:tab w:val="right" w:leader="dot" w:pos="9628"/>
        </w:tabs>
        <w:rPr>
          <w:rFonts w:eastAsiaTheme="minorEastAsia"/>
          <w:noProof/>
          <w:lang w:eastAsia="da-DK"/>
        </w:rPr>
      </w:pPr>
      <w:hyperlink w:anchor="_Toc484674633" w:history="1">
        <w:r w:rsidR="006648E7" w:rsidRPr="00324D09">
          <w:rPr>
            <w:rStyle w:val="Hyperlink"/>
            <w:noProof/>
          </w:rPr>
          <w:t>Bilag 2: Egnsteatres omsætning – 2015,  offentligt driftstilskud og øvrige indtægter</w:t>
        </w:r>
        <w:r w:rsidR="006648E7">
          <w:rPr>
            <w:noProof/>
            <w:webHidden/>
          </w:rPr>
          <w:tab/>
        </w:r>
        <w:r w:rsidR="006648E7">
          <w:rPr>
            <w:noProof/>
            <w:webHidden/>
          </w:rPr>
          <w:fldChar w:fldCharType="begin"/>
        </w:r>
        <w:r w:rsidR="006648E7">
          <w:rPr>
            <w:noProof/>
            <w:webHidden/>
          </w:rPr>
          <w:instrText xml:space="preserve"> PAGEREF _Toc484674633 \h </w:instrText>
        </w:r>
        <w:r w:rsidR="006648E7">
          <w:rPr>
            <w:noProof/>
            <w:webHidden/>
          </w:rPr>
        </w:r>
        <w:r w:rsidR="006648E7">
          <w:rPr>
            <w:noProof/>
            <w:webHidden/>
          </w:rPr>
          <w:fldChar w:fldCharType="separate"/>
        </w:r>
        <w:r w:rsidR="006648E7">
          <w:rPr>
            <w:noProof/>
            <w:webHidden/>
          </w:rPr>
          <w:t>19</w:t>
        </w:r>
        <w:r w:rsidR="006648E7">
          <w:rPr>
            <w:noProof/>
            <w:webHidden/>
          </w:rPr>
          <w:fldChar w:fldCharType="end"/>
        </w:r>
      </w:hyperlink>
    </w:p>
    <w:p w14:paraId="7D64A461" w14:textId="77777777" w:rsidR="00351621" w:rsidRDefault="00CB6630" w:rsidP="000A7B3C">
      <w:pPr>
        <w:tabs>
          <w:tab w:val="right" w:leader="dot" w:pos="7371"/>
          <w:tab w:val="right" w:pos="7938"/>
        </w:tabs>
      </w:pPr>
      <w:r w:rsidRPr="00351621">
        <w:fldChar w:fldCharType="end"/>
      </w:r>
    </w:p>
    <w:p w14:paraId="19030936" w14:textId="77777777" w:rsidR="00351621" w:rsidRDefault="00351621" w:rsidP="00351621"/>
    <w:p w14:paraId="24852CB8" w14:textId="77777777" w:rsidR="00351621" w:rsidRDefault="00351621" w:rsidP="00351621">
      <w:pPr>
        <w:sectPr w:rsidR="00351621" w:rsidSect="0066162B">
          <w:headerReference w:type="default" r:id="rId15"/>
          <w:footerReference w:type="default" r:id="rId16"/>
          <w:pgSz w:w="11906" w:h="16838"/>
          <w:pgMar w:top="2835" w:right="1134" w:bottom="1701" w:left="1134" w:header="709" w:footer="709" w:gutter="0"/>
          <w:cols w:space="708"/>
          <w:docGrid w:linePitch="360"/>
        </w:sectPr>
      </w:pPr>
    </w:p>
    <w:p w14:paraId="241148FD" w14:textId="77777777" w:rsidR="00EA2F91" w:rsidRPr="00FD2826" w:rsidRDefault="005A19FD" w:rsidP="00165B3E">
      <w:pPr>
        <w:pStyle w:val="Overskrift1"/>
      </w:pPr>
      <w:bookmarkStart w:id="0" w:name="_Toc484674617"/>
      <w:r w:rsidRPr="00FD2826">
        <w:lastRenderedPageBreak/>
        <w:t>Indledning</w:t>
      </w:r>
      <w:bookmarkEnd w:id="0"/>
    </w:p>
    <w:p w14:paraId="4629E9F3" w14:textId="77777777" w:rsidR="00601B9C" w:rsidRDefault="00601B9C" w:rsidP="00601B9C">
      <w:r>
        <w:t xml:space="preserve">Statens Kunstfonds Projektstøtteudvalg for Scenekunst (PUS eller udvalget) har ønsket en uvildig evaluering af Black Box Theatre i forbindelse med teatrets nuværende aftaleperiode (2014-17). Til det formål har udvalget indgået aftale med dramaturg og chefkonsulent Lene Bak (evaluator), som har gennemført evalueringen i perioden februar – juli 2017. </w:t>
      </w:r>
    </w:p>
    <w:p w14:paraId="5100F986" w14:textId="77777777" w:rsidR="00601B9C" w:rsidRDefault="00601B9C" w:rsidP="00601B9C">
      <w:r>
        <w:t xml:space="preserve"> </w:t>
      </w:r>
    </w:p>
    <w:p w14:paraId="2D717940" w14:textId="77777777" w:rsidR="00601B9C" w:rsidRDefault="00601B9C" w:rsidP="00601B9C">
      <w:r>
        <w:t>Black Box Theatre har eksisteret som egnsteater siden</w:t>
      </w:r>
      <w:r w:rsidR="00023CD2">
        <w:t xml:space="preserve"> 2010</w:t>
      </w:r>
      <w:r w:rsidRPr="00EA6496">
        <w:t>. Teatret er organiseret som en selvejende institution, med l</w:t>
      </w:r>
      <w:r>
        <w:t>okalt tilskud fra Holstebro Kommune. T</w:t>
      </w:r>
      <w:r w:rsidRPr="00023CD2">
        <w:t>eatret har en samlet omsætning på mellem 9,3 og 15,4 mio. kr./år, heraf udgør egenomsætningen</w:t>
      </w:r>
      <w:r w:rsidR="00023CD2">
        <w:t xml:space="preserve"> mellem 11 og </w:t>
      </w:r>
      <w:r w:rsidRPr="00023CD2">
        <w:t>38 %</w:t>
      </w:r>
      <w:r w:rsidRPr="00F91155">
        <w:rPr>
          <w:b/>
        </w:rPr>
        <w:t>.</w:t>
      </w:r>
      <w:r>
        <w:t xml:space="preserve"> </w:t>
      </w:r>
    </w:p>
    <w:p w14:paraId="7545517B" w14:textId="77777777" w:rsidR="00601B9C" w:rsidRDefault="00601B9C" w:rsidP="00601B9C"/>
    <w:p w14:paraId="7F53D597" w14:textId="77777777" w:rsidR="00601B9C" w:rsidRDefault="00601B9C" w:rsidP="00601B9C">
      <w:r>
        <w:t>De overordnede formål med evalueringen er formuleret af Slots- og Kulturstyrelsen:</w:t>
      </w:r>
    </w:p>
    <w:p w14:paraId="4E35F013" w14:textId="77777777" w:rsidR="00601B9C" w:rsidRDefault="00601B9C" w:rsidP="00601B9C"/>
    <w:tbl>
      <w:tblPr>
        <w:tblStyle w:val="Tabel-Gitter"/>
        <w:tblW w:w="0" w:type="auto"/>
        <w:tblBorders>
          <w:top w:val="single" w:sz="4" w:space="0" w:color="A50021"/>
          <w:left w:val="none" w:sz="0" w:space="0" w:color="auto"/>
          <w:bottom w:val="single" w:sz="4" w:space="0" w:color="A50021"/>
          <w:right w:val="none" w:sz="0" w:space="0" w:color="auto"/>
          <w:insideH w:val="none" w:sz="0" w:space="0" w:color="auto"/>
          <w:insideV w:val="none" w:sz="0" w:space="0" w:color="auto"/>
        </w:tblBorders>
        <w:tblLook w:val="04A0" w:firstRow="1" w:lastRow="0" w:firstColumn="1" w:lastColumn="0" w:noHBand="0" w:noVBand="1"/>
      </w:tblPr>
      <w:tblGrid>
        <w:gridCol w:w="9638"/>
      </w:tblGrid>
      <w:tr w:rsidR="00601B9C" w14:paraId="1B82898D" w14:textId="77777777" w:rsidTr="00601B9C">
        <w:tc>
          <w:tcPr>
            <w:tcW w:w="9778" w:type="dxa"/>
            <w:tcBorders>
              <w:top w:val="single" w:sz="4" w:space="0" w:color="403152" w:themeColor="accent3"/>
              <w:bottom w:val="single" w:sz="4" w:space="0" w:color="403152" w:themeColor="accent3"/>
            </w:tcBorders>
          </w:tcPr>
          <w:p w14:paraId="0647EA3D" w14:textId="77777777" w:rsidR="00601B9C" w:rsidRPr="00755F29" w:rsidRDefault="00601B9C" w:rsidP="002A11D7">
            <w:pPr>
              <w:rPr>
                <w:b/>
                <w:sz w:val="20"/>
                <w:szCs w:val="20"/>
              </w:rPr>
            </w:pPr>
          </w:p>
          <w:p w14:paraId="0FF1D7C4" w14:textId="77777777" w:rsidR="00601B9C" w:rsidRPr="00B33C34" w:rsidRDefault="00601B9C" w:rsidP="002A11D7">
            <w:pPr>
              <w:rPr>
                <w:b/>
                <w:sz w:val="20"/>
                <w:szCs w:val="20"/>
              </w:rPr>
            </w:pPr>
            <w:r w:rsidRPr="00755F29">
              <w:rPr>
                <w:b/>
                <w:sz w:val="20"/>
                <w:szCs w:val="20"/>
              </w:rPr>
              <w:t xml:space="preserve">Formål med evalueringen </w:t>
            </w:r>
          </w:p>
          <w:p w14:paraId="4BEF371F" w14:textId="77777777" w:rsidR="00601B9C" w:rsidRPr="00755F29" w:rsidRDefault="00601B9C" w:rsidP="00601B9C">
            <w:pPr>
              <w:pStyle w:val="Listeafsnit"/>
              <w:numPr>
                <w:ilvl w:val="0"/>
                <w:numId w:val="9"/>
              </w:numPr>
              <w:rPr>
                <w:sz w:val="20"/>
                <w:szCs w:val="20"/>
              </w:rPr>
            </w:pPr>
            <w:r w:rsidRPr="00755F29">
              <w:rPr>
                <w:sz w:val="20"/>
                <w:szCs w:val="20"/>
              </w:rPr>
              <w:t>Medvirke til udvikling af teatre</w:t>
            </w:r>
            <w:r>
              <w:rPr>
                <w:sz w:val="20"/>
                <w:szCs w:val="20"/>
              </w:rPr>
              <w:t>t</w:t>
            </w:r>
            <w:r w:rsidRPr="00755F29">
              <w:rPr>
                <w:sz w:val="20"/>
                <w:szCs w:val="20"/>
              </w:rPr>
              <w:t>s faglige og kunstneriske niveau gennem dialog med aftaleparterne</w:t>
            </w:r>
          </w:p>
          <w:p w14:paraId="33226D97" w14:textId="77777777" w:rsidR="00601B9C" w:rsidRPr="00755F29" w:rsidRDefault="00601B9C" w:rsidP="00601B9C">
            <w:pPr>
              <w:pStyle w:val="Listeafsnit"/>
              <w:numPr>
                <w:ilvl w:val="0"/>
                <w:numId w:val="9"/>
              </w:numPr>
              <w:rPr>
                <w:sz w:val="20"/>
                <w:szCs w:val="20"/>
              </w:rPr>
            </w:pPr>
            <w:r w:rsidRPr="00755F29">
              <w:rPr>
                <w:sz w:val="20"/>
                <w:szCs w:val="20"/>
              </w:rPr>
              <w:t>Sikre at de statslige tilskud til teatret og refusion af kommunens udgift hertil bliver anvendt i tråd med det generelle kunstneriske og faglige niveau for egnsteatre</w:t>
            </w:r>
            <w:r>
              <w:rPr>
                <w:sz w:val="20"/>
                <w:szCs w:val="20"/>
              </w:rPr>
              <w:t>.</w:t>
            </w:r>
          </w:p>
          <w:p w14:paraId="4AD2FEB7" w14:textId="77777777" w:rsidR="00601B9C" w:rsidRPr="00755F29" w:rsidRDefault="00601B9C" w:rsidP="002A11D7">
            <w:pPr>
              <w:rPr>
                <w:sz w:val="20"/>
                <w:szCs w:val="20"/>
              </w:rPr>
            </w:pPr>
          </w:p>
        </w:tc>
      </w:tr>
    </w:tbl>
    <w:p w14:paraId="79E39C3E" w14:textId="77777777" w:rsidR="00601B9C" w:rsidRDefault="00601B9C" w:rsidP="00601B9C">
      <w:pPr>
        <w:pStyle w:val="Listeafsnit"/>
      </w:pPr>
    </w:p>
    <w:p w14:paraId="2BEDF54E" w14:textId="77777777" w:rsidR="00601B9C" w:rsidRPr="00487BBD" w:rsidRDefault="00601B9C" w:rsidP="00601B9C">
      <w:r w:rsidRPr="00487BBD">
        <w:t>Evalueringen er baseret på både k</w:t>
      </w:r>
      <w:r>
        <w:t>valitative og kvantitative data</w:t>
      </w:r>
      <w:r w:rsidRPr="00487BBD">
        <w:t xml:space="preserve"> og vurderer hhv.: </w:t>
      </w:r>
    </w:p>
    <w:p w14:paraId="62E871B3" w14:textId="77777777" w:rsidR="00601B9C" w:rsidRPr="00487BBD" w:rsidRDefault="00601B9C" w:rsidP="00601B9C">
      <w:pPr>
        <w:pStyle w:val="Listeafsnit"/>
      </w:pPr>
    </w:p>
    <w:p w14:paraId="0A5EBAFE" w14:textId="77777777" w:rsidR="00601B9C" w:rsidRPr="00487BBD" w:rsidRDefault="00601B9C" w:rsidP="00601B9C">
      <w:pPr>
        <w:pStyle w:val="Listeafsnit"/>
        <w:numPr>
          <w:ilvl w:val="0"/>
          <w:numId w:val="15"/>
        </w:numPr>
      </w:pPr>
      <w:r>
        <w:t xml:space="preserve">Black Box Theatre’s rammer og tal – </w:t>
      </w:r>
      <w:r w:rsidRPr="00487BBD">
        <w:t>Økonomiske og organisatoriske forhold</w:t>
      </w:r>
      <w:r>
        <w:t xml:space="preserve">  </w:t>
      </w:r>
    </w:p>
    <w:p w14:paraId="6F386961" w14:textId="77777777" w:rsidR="00601B9C" w:rsidRPr="00487BBD" w:rsidRDefault="00601B9C" w:rsidP="00601B9C">
      <w:pPr>
        <w:pStyle w:val="Listeafsnit"/>
        <w:numPr>
          <w:ilvl w:val="0"/>
          <w:numId w:val="15"/>
        </w:numPr>
      </w:pPr>
      <w:r w:rsidRPr="00487BBD">
        <w:t>Kunstneriske aktiviteter</w:t>
      </w:r>
      <w:r>
        <w:t xml:space="preserve"> og kvalitet</w:t>
      </w:r>
    </w:p>
    <w:p w14:paraId="622F9689" w14:textId="77777777" w:rsidR="00601B9C" w:rsidRPr="00487BBD" w:rsidRDefault="00601B9C" w:rsidP="00601B9C">
      <w:pPr>
        <w:pStyle w:val="Listeafsnit"/>
        <w:numPr>
          <w:ilvl w:val="0"/>
          <w:numId w:val="15"/>
        </w:numPr>
      </w:pPr>
      <w:r w:rsidRPr="00487BBD">
        <w:t>Lokal forankring</w:t>
      </w:r>
      <w:r>
        <w:t xml:space="preserve"> </w:t>
      </w:r>
      <w:r w:rsidRPr="00487BBD">
        <w:t xml:space="preserve">og </w:t>
      </w:r>
      <w:r>
        <w:t>synlighed.</w:t>
      </w:r>
    </w:p>
    <w:p w14:paraId="56AEFFFA" w14:textId="77777777" w:rsidR="00601B9C" w:rsidRDefault="00601B9C" w:rsidP="00601B9C">
      <w:pPr>
        <w:pStyle w:val="Listeafsnit"/>
        <w:ind w:left="0"/>
        <w:rPr>
          <w:iCs/>
          <w:color w:val="000000"/>
        </w:rPr>
      </w:pPr>
    </w:p>
    <w:p w14:paraId="129EFD7A" w14:textId="77777777" w:rsidR="00601B9C" w:rsidRDefault="00601B9C" w:rsidP="00601B9C">
      <w:pPr>
        <w:pStyle w:val="Listeafsnit"/>
        <w:ind w:left="0"/>
        <w:rPr>
          <w:iCs/>
          <w:color w:val="000000"/>
        </w:rPr>
      </w:pPr>
      <w:r>
        <w:rPr>
          <w:iCs/>
          <w:color w:val="000000"/>
        </w:rPr>
        <w:t xml:space="preserve">Evaluators dataindsamling har bestået af hhv. desk research (selvevaluering, årsrapporter, presseklip og bred orientering i teatrets programmer mv.), besøg på teatret og overværelse af </w:t>
      </w:r>
      <w:r w:rsidR="00023CD2">
        <w:rPr>
          <w:iCs/>
          <w:color w:val="000000"/>
        </w:rPr>
        <w:t>tre egenproduktioner, fremført af Black Box Dance Company</w:t>
      </w:r>
      <w:r>
        <w:rPr>
          <w:iCs/>
          <w:color w:val="000000"/>
        </w:rPr>
        <w:t>. F</w:t>
      </w:r>
      <w:r w:rsidR="00023CD2">
        <w:rPr>
          <w:iCs/>
          <w:color w:val="000000"/>
        </w:rPr>
        <w:t>orestillingen 7even</w:t>
      </w:r>
      <w:r>
        <w:rPr>
          <w:iCs/>
          <w:color w:val="000000"/>
        </w:rPr>
        <w:t xml:space="preserve"> er i fokus i analysen af teatrets kunstneriske kvalitet. </w:t>
      </w:r>
    </w:p>
    <w:p w14:paraId="786EFB1F" w14:textId="77777777" w:rsidR="00601B9C" w:rsidRDefault="00601B9C" w:rsidP="00601B9C">
      <w:pPr>
        <w:pStyle w:val="Listeafsnit"/>
        <w:ind w:left="0"/>
        <w:rPr>
          <w:iCs/>
          <w:color w:val="000000"/>
        </w:rPr>
      </w:pPr>
    </w:p>
    <w:p w14:paraId="54A4D13E" w14:textId="77777777" w:rsidR="00601B9C" w:rsidRPr="00976B5F" w:rsidRDefault="00601B9C" w:rsidP="00601B9C">
      <w:pPr>
        <w:pStyle w:val="Listeafsnit"/>
        <w:ind w:left="0"/>
        <w:rPr>
          <w:iCs/>
          <w:color w:val="000000"/>
        </w:rPr>
      </w:pPr>
      <w:r>
        <w:rPr>
          <w:iCs/>
          <w:color w:val="000000"/>
        </w:rPr>
        <w:t xml:space="preserve">Herudover har evaluator gennemført interviews og gruppeinterviews med repræsentanter for teatrets ledelse og bestyrelse samt Holstebro Kommunes kulturudvalgsformand og kulturchef. Data til </w:t>
      </w:r>
      <w:r w:rsidR="00A45B0E">
        <w:rPr>
          <w:iCs/>
          <w:color w:val="000000"/>
        </w:rPr>
        <w:t xml:space="preserve">vurdering af </w:t>
      </w:r>
      <w:r>
        <w:rPr>
          <w:iCs/>
          <w:color w:val="000000"/>
        </w:rPr>
        <w:t xml:space="preserve">de økonomiske og organisatoriske forhold er indsamlet af Slots- og Kulturstyrelsen. </w:t>
      </w:r>
      <w:r>
        <w:t xml:space="preserve">Metoden til at vurdere den kunstneriske kvalitet tager udgangspunkt i </w:t>
      </w:r>
      <w:r w:rsidRPr="00976B5F">
        <w:rPr>
          <w:iCs/>
          <w:color w:val="000000"/>
        </w:rPr>
        <w:t>Ønskekvistmodellen</w:t>
      </w:r>
      <w:r>
        <w:rPr>
          <w:iCs/>
          <w:color w:val="000000"/>
        </w:rPr>
        <w:t xml:space="preserve">, beskrevet i kapitel 6. </w:t>
      </w:r>
    </w:p>
    <w:p w14:paraId="51FC1076" w14:textId="77777777" w:rsidR="00601B9C" w:rsidRDefault="00601B9C" w:rsidP="00601B9C"/>
    <w:p w14:paraId="4E107002" w14:textId="77777777" w:rsidR="00A77EB6" w:rsidRDefault="00601B9C" w:rsidP="0084355A">
      <w:pPr>
        <w:rPr>
          <w:b/>
          <w:i/>
        </w:rPr>
      </w:pPr>
      <w:r>
        <w:t>Evaluator vil gerne benytte lejligheden til at sige tak for et godt samarbejde med alle aktører!</w:t>
      </w:r>
      <w:r>
        <w:br/>
      </w:r>
    </w:p>
    <w:p w14:paraId="67A5E134" w14:textId="77777777" w:rsidR="005A19FD" w:rsidRPr="00FD5A6A" w:rsidRDefault="00373454" w:rsidP="0084355A">
      <w:pPr>
        <w:rPr>
          <w:lang w:val="nn-NO"/>
        </w:rPr>
      </w:pPr>
      <w:r w:rsidRPr="00FD5A6A">
        <w:rPr>
          <w:b/>
          <w:i/>
          <w:lang w:val="nn-NO"/>
        </w:rPr>
        <w:t>Lene Bak, Lea@Pluss.dk</w:t>
      </w:r>
      <w:r w:rsidR="009922D9" w:rsidRPr="00FD5A6A">
        <w:rPr>
          <w:b/>
          <w:i/>
          <w:lang w:val="nn-NO"/>
        </w:rPr>
        <w:br/>
      </w:r>
      <w:r w:rsidR="005E002F" w:rsidRPr="00FD5A6A">
        <w:rPr>
          <w:b/>
          <w:i/>
          <w:lang w:val="nn-NO"/>
        </w:rPr>
        <w:t xml:space="preserve">August </w:t>
      </w:r>
      <w:r w:rsidR="009922D9" w:rsidRPr="00FD5A6A">
        <w:rPr>
          <w:b/>
          <w:i/>
          <w:lang w:val="nn-NO"/>
        </w:rPr>
        <w:t>2017</w:t>
      </w:r>
    </w:p>
    <w:p w14:paraId="61BD77FB" w14:textId="77777777" w:rsidR="00B33FF2" w:rsidRPr="00FD5A6A" w:rsidRDefault="00B33FF2" w:rsidP="005A19FD">
      <w:pPr>
        <w:rPr>
          <w:lang w:val="nn-NO"/>
        </w:rPr>
      </w:pPr>
    </w:p>
    <w:p w14:paraId="3CB0CE32" w14:textId="77777777" w:rsidR="005A19FD" w:rsidRPr="00165B3E" w:rsidRDefault="00E92505" w:rsidP="00165B3E">
      <w:pPr>
        <w:pStyle w:val="Overskrift1"/>
      </w:pPr>
      <w:bookmarkStart w:id="1" w:name="_Toc484674618"/>
      <w:r w:rsidRPr="00165B3E">
        <w:lastRenderedPageBreak/>
        <w:t xml:space="preserve">Resumé af </w:t>
      </w:r>
      <w:r w:rsidR="005A19FD" w:rsidRPr="009922D9">
        <w:t>konklusioner</w:t>
      </w:r>
      <w:r w:rsidR="005A19FD" w:rsidRPr="00165B3E">
        <w:t xml:space="preserve"> og </w:t>
      </w:r>
      <w:r w:rsidR="005B48C1" w:rsidRPr="00165B3E">
        <w:t>anbefalinger</w:t>
      </w:r>
      <w:bookmarkEnd w:id="1"/>
    </w:p>
    <w:p w14:paraId="65E33139" w14:textId="77777777" w:rsidR="00584487" w:rsidRDefault="000079B6" w:rsidP="000079B6">
      <w:r>
        <w:t>Det er evaluators vurdering, at Black Box Theatre lever op til egnsteateraftalen og de kunstneriske mål</w:t>
      </w:r>
      <w:r w:rsidR="00584487">
        <w:t xml:space="preserve"> med overperformance på antal egenproduktioner og </w:t>
      </w:r>
      <w:r w:rsidR="00037D35">
        <w:t xml:space="preserve">et generelt højt </w:t>
      </w:r>
      <w:r w:rsidR="00584487">
        <w:t xml:space="preserve">aktivitetsniveau.  </w:t>
      </w:r>
    </w:p>
    <w:p w14:paraId="57E44879" w14:textId="77777777" w:rsidR="00584487" w:rsidRDefault="00584487" w:rsidP="000079B6"/>
    <w:p w14:paraId="6BBD31F5" w14:textId="77777777" w:rsidR="000079B6" w:rsidRDefault="00584487" w:rsidP="000079B6">
      <w:r>
        <w:t>Black Box Theatre</w:t>
      </w:r>
      <w:r w:rsidR="00F41368">
        <w:t>´s</w:t>
      </w:r>
      <w:r>
        <w:t xml:space="preserve"> overordnede ledelsesstruktur fungerer hensigtsmæssig</w:t>
      </w:r>
      <w:r w:rsidR="007A517F">
        <w:t>, l</w:t>
      </w:r>
      <w:r w:rsidR="0019414E">
        <w:t xml:space="preserve">igesom </w:t>
      </w:r>
      <w:r w:rsidR="00F41368">
        <w:t>den økonomiske adskillelse mellem de to kulturinstitutioner</w:t>
      </w:r>
      <w:r w:rsidR="0019414E">
        <w:t xml:space="preserve">, Black Box Theatre og Musikteater </w:t>
      </w:r>
      <w:proofErr w:type="spellStart"/>
      <w:r w:rsidR="0019414E">
        <w:t>Holsterbro</w:t>
      </w:r>
      <w:proofErr w:type="spellEnd"/>
      <w:r w:rsidR="0019414E">
        <w:t xml:space="preserve">, fungerer efter </w:t>
      </w:r>
      <w:r w:rsidR="00F41368">
        <w:t>reglerne</w:t>
      </w:r>
      <w:r w:rsidR="007A517F">
        <w:t>. D</w:t>
      </w:r>
      <w:r w:rsidR="00F41368">
        <w:t>e indgåede aftaler og kontrakter er inden for rammerne af fornuftig drift af egnsteatre</w:t>
      </w:r>
      <w:r w:rsidR="007A517F">
        <w:t>, dog med omkostningstung administration og husleje</w:t>
      </w:r>
      <w:r w:rsidR="00F41368">
        <w:t>.</w:t>
      </w:r>
      <w:r>
        <w:t xml:space="preserve"> </w:t>
      </w:r>
    </w:p>
    <w:p w14:paraId="54326256" w14:textId="77777777" w:rsidR="000079B6" w:rsidRDefault="000079B6" w:rsidP="000079B6"/>
    <w:tbl>
      <w:tblPr>
        <w:tblStyle w:val="Tabel-Gitter"/>
        <w:tblW w:w="0" w:type="auto"/>
        <w:tblInd w:w="720" w:type="dxa"/>
        <w:tblBorders>
          <w:top w:val="single" w:sz="4" w:space="0" w:color="201829" w:themeColor="accent3" w:themeShade="80"/>
          <w:left w:val="none" w:sz="0" w:space="0" w:color="auto"/>
          <w:bottom w:val="single" w:sz="4" w:space="0" w:color="201829" w:themeColor="accent3" w:themeShade="80"/>
          <w:right w:val="none" w:sz="0" w:space="0" w:color="auto"/>
          <w:insideH w:val="none" w:sz="0" w:space="0" w:color="auto"/>
          <w:insideV w:val="none" w:sz="0" w:space="0" w:color="auto"/>
        </w:tblBorders>
        <w:tblLook w:val="04A0" w:firstRow="1" w:lastRow="0" w:firstColumn="1" w:lastColumn="0" w:noHBand="0" w:noVBand="1"/>
      </w:tblPr>
      <w:tblGrid>
        <w:gridCol w:w="8918"/>
      </w:tblGrid>
      <w:tr w:rsidR="000F670D" w14:paraId="01AB06E1" w14:textId="77777777" w:rsidTr="000079B6">
        <w:tc>
          <w:tcPr>
            <w:tcW w:w="9134" w:type="dxa"/>
            <w:shd w:val="clear" w:color="auto" w:fill="F2F2F2" w:themeFill="background1" w:themeFillShade="F2"/>
          </w:tcPr>
          <w:p w14:paraId="2BF37175" w14:textId="77777777" w:rsidR="009B5143" w:rsidRDefault="009B5143" w:rsidP="009B5143">
            <w:pPr>
              <w:spacing w:line="240" w:lineRule="auto"/>
              <w:rPr>
                <w:sz w:val="20"/>
                <w:szCs w:val="20"/>
              </w:rPr>
            </w:pPr>
          </w:p>
          <w:p w14:paraId="355464C7" w14:textId="77777777" w:rsidR="000F670D" w:rsidRPr="009B5143" w:rsidRDefault="000F670D" w:rsidP="00A37CA5">
            <w:pPr>
              <w:spacing w:line="240" w:lineRule="auto"/>
              <w:rPr>
                <w:sz w:val="20"/>
                <w:szCs w:val="20"/>
              </w:rPr>
            </w:pPr>
            <w:r w:rsidRPr="009B5143">
              <w:rPr>
                <w:sz w:val="20"/>
                <w:szCs w:val="20"/>
              </w:rPr>
              <w:t>På den baggrund anbefale</w:t>
            </w:r>
            <w:r w:rsidR="00886E7A" w:rsidRPr="009B5143">
              <w:rPr>
                <w:sz w:val="20"/>
                <w:szCs w:val="20"/>
              </w:rPr>
              <w:t>s det</w:t>
            </w:r>
            <w:r w:rsidRPr="009B5143">
              <w:rPr>
                <w:sz w:val="20"/>
                <w:szCs w:val="20"/>
              </w:rPr>
              <w:t xml:space="preserve">, at </w:t>
            </w:r>
            <w:r w:rsidR="000079B6" w:rsidRPr="009B5143">
              <w:rPr>
                <w:sz w:val="20"/>
                <w:szCs w:val="20"/>
              </w:rPr>
              <w:t xml:space="preserve">Holstebro </w:t>
            </w:r>
            <w:r w:rsidR="00A77EB6" w:rsidRPr="009B5143">
              <w:rPr>
                <w:sz w:val="20"/>
                <w:szCs w:val="20"/>
              </w:rPr>
              <w:t xml:space="preserve">Kommune </w:t>
            </w:r>
            <w:r w:rsidRPr="009B5143">
              <w:rPr>
                <w:sz w:val="20"/>
                <w:szCs w:val="20"/>
              </w:rPr>
              <w:t>viderefører egnsteateraftalen med</w:t>
            </w:r>
            <w:r w:rsidR="007752C1" w:rsidRPr="009B5143">
              <w:rPr>
                <w:sz w:val="20"/>
                <w:szCs w:val="20"/>
              </w:rPr>
              <w:t xml:space="preserve"> </w:t>
            </w:r>
            <w:r w:rsidR="000079B6" w:rsidRPr="009B5143">
              <w:rPr>
                <w:sz w:val="20"/>
                <w:szCs w:val="20"/>
              </w:rPr>
              <w:t>Black Box Theatre.</w:t>
            </w:r>
            <w:r w:rsidR="0006387F" w:rsidRPr="009B5143">
              <w:rPr>
                <w:sz w:val="20"/>
                <w:szCs w:val="20"/>
              </w:rPr>
              <w:t xml:space="preserve"> </w:t>
            </w:r>
            <w:r w:rsidR="00A37CA5">
              <w:rPr>
                <w:sz w:val="20"/>
                <w:szCs w:val="20"/>
              </w:rPr>
              <w:br/>
            </w:r>
          </w:p>
        </w:tc>
      </w:tr>
    </w:tbl>
    <w:p w14:paraId="19339E63" w14:textId="77777777" w:rsidR="000079B6" w:rsidRDefault="000079B6" w:rsidP="000079B6"/>
    <w:p w14:paraId="6C4FFBBB" w14:textId="77777777" w:rsidR="00730F98" w:rsidRDefault="00730F98" w:rsidP="00197CC8">
      <w:r>
        <w:t xml:space="preserve">I den aktuelle aftaleperiode har teatret </w:t>
      </w:r>
      <w:r w:rsidR="0019414E">
        <w:t xml:space="preserve">– i tråd med dets udviklingsplan - </w:t>
      </w:r>
      <w:r>
        <w:t>arbejdet med at professionalisere og udvide den kunstneriske portefølje</w:t>
      </w:r>
      <w:r w:rsidR="0019414E">
        <w:t>,</w:t>
      </w:r>
      <w:r>
        <w:t xml:space="preserve"> så der nu udbydes teater for både bør, unge og voks</w:t>
      </w:r>
      <w:r w:rsidR="007A517F">
        <w:t>n</w:t>
      </w:r>
      <w:r>
        <w:t>e. Kombinationen i den kunstneriske portefølje er bred, men fungerer i praksis i den samlede kunstneriske forretningsmode</w:t>
      </w:r>
      <w:r w:rsidR="00037D35">
        <w:t>l</w:t>
      </w:r>
      <w:r>
        <w:t>. Den kan dog fortsat godt fremstå noget fragmenteret.</w:t>
      </w:r>
      <w:r w:rsidR="0019414E">
        <w:t xml:space="preserve"> De sete forestillinger lever fuldt ud op til teatrets kunstneriske visioner, og er i sig selv meget overbevisende.</w:t>
      </w:r>
    </w:p>
    <w:p w14:paraId="53791584" w14:textId="77777777" w:rsidR="00730F98" w:rsidRDefault="00730F98" w:rsidP="00197CC8"/>
    <w:tbl>
      <w:tblPr>
        <w:tblStyle w:val="Tabel-Gitter"/>
        <w:tblW w:w="0" w:type="auto"/>
        <w:tblInd w:w="720" w:type="dxa"/>
        <w:tblBorders>
          <w:top w:val="single" w:sz="4" w:space="0" w:color="201829" w:themeColor="accent3" w:themeShade="80"/>
          <w:left w:val="none" w:sz="0" w:space="0" w:color="auto"/>
          <w:bottom w:val="single" w:sz="4" w:space="0" w:color="201829" w:themeColor="accent3" w:themeShade="80"/>
          <w:right w:val="none" w:sz="0" w:space="0" w:color="auto"/>
          <w:insideH w:val="none" w:sz="0" w:space="0" w:color="auto"/>
          <w:insideV w:val="none" w:sz="0" w:space="0" w:color="auto"/>
        </w:tblBorders>
        <w:tblLook w:val="04A0" w:firstRow="1" w:lastRow="0" w:firstColumn="1" w:lastColumn="0" w:noHBand="0" w:noVBand="1"/>
      </w:tblPr>
      <w:tblGrid>
        <w:gridCol w:w="8918"/>
      </w:tblGrid>
      <w:tr w:rsidR="00763693" w:rsidRPr="00CA557E" w14:paraId="1761D19C" w14:textId="77777777" w:rsidTr="00F41368">
        <w:tc>
          <w:tcPr>
            <w:tcW w:w="9134" w:type="dxa"/>
            <w:shd w:val="clear" w:color="auto" w:fill="F2F2F2" w:themeFill="background1" w:themeFillShade="F2"/>
          </w:tcPr>
          <w:p w14:paraId="673B4809" w14:textId="77777777" w:rsidR="00763693" w:rsidRPr="00CA557E" w:rsidRDefault="00763693" w:rsidP="00763693">
            <w:pPr>
              <w:rPr>
                <w:sz w:val="20"/>
                <w:szCs w:val="20"/>
              </w:rPr>
            </w:pPr>
            <w:r w:rsidRPr="00CA557E">
              <w:rPr>
                <w:sz w:val="20"/>
                <w:szCs w:val="20"/>
              </w:rPr>
              <w:br/>
            </w:r>
            <w:r w:rsidR="00C959C0" w:rsidRPr="00CA557E">
              <w:rPr>
                <w:sz w:val="20"/>
                <w:szCs w:val="20"/>
              </w:rPr>
              <w:t>Det er evaluators anbefaling, at den udadvendte kunstneriske profil bliver stadig mere skarp i forskelligheden mellem Black Box Theatre og Musikhus Holstebro</w:t>
            </w:r>
            <w:r w:rsidR="0019414E">
              <w:rPr>
                <w:sz w:val="20"/>
                <w:szCs w:val="20"/>
              </w:rPr>
              <w:t xml:space="preserve"> især på teaterkoncertdelen</w:t>
            </w:r>
            <w:r w:rsidR="00C959C0" w:rsidRPr="00CA557E">
              <w:rPr>
                <w:sz w:val="20"/>
                <w:szCs w:val="20"/>
              </w:rPr>
              <w:t xml:space="preserve">. </w:t>
            </w:r>
            <w:r w:rsidR="00DD69C6">
              <w:rPr>
                <w:sz w:val="20"/>
                <w:szCs w:val="20"/>
              </w:rPr>
              <w:t>Ligeledes kan egns</w:t>
            </w:r>
            <w:r w:rsidR="005E65BD" w:rsidRPr="00CA557E">
              <w:rPr>
                <w:sz w:val="20"/>
                <w:szCs w:val="20"/>
              </w:rPr>
              <w:t xml:space="preserve">teatret </w:t>
            </w:r>
            <w:r w:rsidR="00DD69C6">
              <w:rPr>
                <w:sz w:val="20"/>
                <w:szCs w:val="20"/>
              </w:rPr>
              <w:t xml:space="preserve">i den kommende periode </w:t>
            </w:r>
            <w:r w:rsidR="0019414E">
              <w:rPr>
                <w:sz w:val="20"/>
                <w:szCs w:val="20"/>
              </w:rPr>
              <w:t>med fordel fokusere</w:t>
            </w:r>
            <w:r w:rsidR="00DD69C6">
              <w:rPr>
                <w:sz w:val="20"/>
                <w:szCs w:val="20"/>
              </w:rPr>
              <w:t xml:space="preserve"> på den indre sammenhængskraft samt </w:t>
            </w:r>
            <w:r w:rsidR="005E65BD" w:rsidRPr="00CA557E">
              <w:rPr>
                <w:sz w:val="20"/>
                <w:szCs w:val="20"/>
              </w:rPr>
              <w:t>styrke det interne tværkunstneriske samarbejde mellem teaterkoncert</w:t>
            </w:r>
            <w:r w:rsidR="0019414E">
              <w:rPr>
                <w:sz w:val="20"/>
                <w:szCs w:val="20"/>
              </w:rPr>
              <w:t>delen</w:t>
            </w:r>
            <w:r w:rsidR="005E65BD" w:rsidRPr="00CA557E">
              <w:rPr>
                <w:sz w:val="20"/>
                <w:szCs w:val="20"/>
              </w:rPr>
              <w:t xml:space="preserve"> og </w:t>
            </w:r>
            <w:r w:rsidR="0019414E">
              <w:rPr>
                <w:sz w:val="20"/>
                <w:szCs w:val="20"/>
              </w:rPr>
              <w:t xml:space="preserve">den </w:t>
            </w:r>
            <w:r w:rsidR="005E65BD" w:rsidRPr="00CA557E">
              <w:rPr>
                <w:sz w:val="20"/>
                <w:szCs w:val="20"/>
              </w:rPr>
              <w:t>moderne dans</w:t>
            </w:r>
            <w:r w:rsidR="007A517F">
              <w:rPr>
                <w:sz w:val="20"/>
                <w:szCs w:val="20"/>
              </w:rPr>
              <w:t xml:space="preserve"> (og evt. børneteatret)</w:t>
            </w:r>
            <w:r w:rsidR="005E65BD" w:rsidRPr="00CA557E">
              <w:rPr>
                <w:sz w:val="20"/>
                <w:szCs w:val="20"/>
              </w:rPr>
              <w:t xml:space="preserve">. Det vil antagelig </w:t>
            </w:r>
            <w:r w:rsidR="0019414E">
              <w:rPr>
                <w:sz w:val="20"/>
                <w:szCs w:val="20"/>
              </w:rPr>
              <w:t xml:space="preserve">medvirke til at </w:t>
            </w:r>
            <w:r w:rsidR="005E65BD" w:rsidRPr="00CA557E">
              <w:rPr>
                <w:sz w:val="20"/>
                <w:szCs w:val="20"/>
              </w:rPr>
              <w:t xml:space="preserve">forny begge genre og medvirke til at give Black Box Theatre et </w:t>
            </w:r>
            <w:r w:rsidR="00D349EF">
              <w:rPr>
                <w:sz w:val="20"/>
                <w:szCs w:val="20"/>
              </w:rPr>
              <w:t>samlet se</w:t>
            </w:r>
            <w:r w:rsidR="00DD69C6">
              <w:rPr>
                <w:sz w:val="20"/>
                <w:szCs w:val="20"/>
              </w:rPr>
              <w:t xml:space="preserve">t </w:t>
            </w:r>
            <w:r w:rsidR="0019414E">
              <w:rPr>
                <w:sz w:val="20"/>
                <w:szCs w:val="20"/>
              </w:rPr>
              <w:t xml:space="preserve">mere </w:t>
            </w:r>
            <w:r w:rsidR="005E65BD" w:rsidRPr="00CA557E">
              <w:rPr>
                <w:sz w:val="20"/>
                <w:szCs w:val="20"/>
              </w:rPr>
              <w:t>unikt brand.</w:t>
            </w:r>
          </w:p>
          <w:p w14:paraId="68476E5D" w14:textId="77777777" w:rsidR="00763693" w:rsidRPr="00CA557E" w:rsidRDefault="00763693" w:rsidP="00F41368">
            <w:pPr>
              <w:pStyle w:val="Listeafsnit"/>
              <w:spacing w:line="240" w:lineRule="auto"/>
              <w:rPr>
                <w:sz w:val="20"/>
                <w:szCs w:val="20"/>
              </w:rPr>
            </w:pPr>
          </w:p>
        </w:tc>
      </w:tr>
    </w:tbl>
    <w:p w14:paraId="1EB30FC3" w14:textId="77777777" w:rsidR="00EE3FA8" w:rsidRDefault="00EE3FA8" w:rsidP="00EE3FA8"/>
    <w:p w14:paraId="56706742" w14:textId="77777777" w:rsidR="00841A10" w:rsidRDefault="000079B6" w:rsidP="00014912">
      <w:r>
        <w:t xml:space="preserve">Egnsteatrets lokale forankring er styrket </w:t>
      </w:r>
      <w:r w:rsidR="007A517F">
        <w:t xml:space="preserve">i </w:t>
      </w:r>
      <w:r>
        <w:t>den aktuelle aftaleperiode, men vurderingen er, at der fortsat er et stykke vej til egentlig lokal fo</w:t>
      </w:r>
      <w:r w:rsidR="0025703B">
        <w:t xml:space="preserve">rankring af Black Box Theatre.  </w:t>
      </w:r>
      <w:r>
        <w:t xml:space="preserve">Via Musikteatrets markedsføringsindsats og kontaktflader får Black Box Theatres forestillinger meget synlighed på de forskellige platforme. Til gengæld er teatret som selvstændig kunstinstitution ikke så synlig. </w:t>
      </w:r>
    </w:p>
    <w:p w14:paraId="31362A64" w14:textId="77777777" w:rsidR="00841A10" w:rsidRDefault="00841A10" w:rsidP="00841A10">
      <w:pPr>
        <w:pStyle w:val="Listeafsnit"/>
      </w:pPr>
    </w:p>
    <w:tbl>
      <w:tblPr>
        <w:tblStyle w:val="Tabel-Gitter"/>
        <w:tblW w:w="0" w:type="auto"/>
        <w:tblInd w:w="720" w:type="dxa"/>
        <w:tblBorders>
          <w:top w:val="single" w:sz="4" w:space="0" w:color="201829" w:themeColor="accent3" w:themeShade="80"/>
          <w:left w:val="none" w:sz="0" w:space="0" w:color="auto"/>
          <w:bottom w:val="single" w:sz="4" w:space="0" w:color="201829" w:themeColor="accent3" w:themeShade="80"/>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18"/>
      </w:tblGrid>
      <w:tr w:rsidR="00841A10" w14:paraId="51A4E3F1" w14:textId="77777777" w:rsidTr="00165B3E">
        <w:tc>
          <w:tcPr>
            <w:tcW w:w="9778" w:type="dxa"/>
            <w:shd w:val="clear" w:color="auto" w:fill="F2F2F2" w:themeFill="background1" w:themeFillShade="F2"/>
          </w:tcPr>
          <w:p w14:paraId="060508E3" w14:textId="77777777" w:rsidR="00841A10" w:rsidRPr="005F7D49" w:rsidRDefault="00841A10" w:rsidP="005F7D49">
            <w:pPr>
              <w:pStyle w:val="Listeafsnit"/>
              <w:spacing w:line="240" w:lineRule="auto"/>
              <w:ind w:left="0"/>
              <w:rPr>
                <w:rFonts w:ascii="8" w:hAnsi="8"/>
                <w:sz w:val="20"/>
                <w:szCs w:val="20"/>
              </w:rPr>
            </w:pPr>
          </w:p>
          <w:p w14:paraId="0A3295AE" w14:textId="77777777" w:rsidR="00841A10" w:rsidRPr="005F7D49" w:rsidRDefault="007C6EEF" w:rsidP="0025703B">
            <w:pPr>
              <w:pStyle w:val="Listeafsnit"/>
              <w:ind w:left="0"/>
              <w:rPr>
                <w:sz w:val="16"/>
                <w:szCs w:val="16"/>
              </w:rPr>
            </w:pPr>
            <w:r w:rsidRPr="007C6EEF">
              <w:rPr>
                <w:sz w:val="20"/>
                <w:szCs w:val="20"/>
              </w:rPr>
              <w:t xml:space="preserve">Her anbefales det, at egnsteatret </w:t>
            </w:r>
            <w:r w:rsidR="0025703B">
              <w:rPr>
                <w:sz w:val="20"/>
                <w:szCs w:val="20"/>
              </w:rPr>
              <w:t>videreudvikler samarbejdet med lokale aktører og s</w:t>
            </w:r>
            <w:r w:rsidRPr="007C6EEF">
              <w:rPr>
                <w:sz w:val="20"/>
                <w:szCs w:val="20"/>
              </w:rPr>
              <w:t>tyrker den selvstændige branding af teatret og Holsteb</w:t>
            </w:r>
            <w:r w:rsidR="0025703B">
              <w:rPr>
                <w:sz w:val="20"/>
                <w:szCs w:val="20"/>
              </w:rPr>
              <w:t>ro Kommune på forskellige måder.</w:t>
            </w:r>
            <w:r w:rsidRPr="007C6EEF">
              <w:rPr>
                <w:sz w:val="20"/>
                <w:szCs w:val="20"/>
              </w:rPr>
              <w:t xml:space="preserve"> </w:t>
            </w:r>
            <w:r w:rsidR="0025703B">
              <w:rPr>
                <w:sz w:val="20"/>
                <w:szCs w:val="20"/>
              </w:rPr>
              <w:br/>
            </w:r>
          </w:p>
        </w:tc>
      </w:tr>
    </w:tbl>
    <w:p w14:paraId="3DC96313" w14:textId="77777777" w:rsidR="00890E4B" w:rsidRDefault="00890E4B" w:rsidP="00993908"/>
    <w:p w14:paraId="71EAB787" w14:textId="77777777" w:rsidR="001E3E8E" w:rsidRDefault="00FB7C1E" w:rsidP="005A19FD">
      <w:r>
        <w:t xml:space="preserve">Samlet </w:t>
      </w:r>
      <w:r w:rsidR="006A4735">
        <w:t xml:space="preserve">set kan dette konkretiseres ved hjælp af </w:t>
      </w:r>
      <w:r>
        <w:t>en SWOT-analyse</w:t>
      </w:r>
      <w:r w:rsidR="00EE48AE">
        <w:t>.</w:t>
      </w:r>
      <w:r w:rsidR="00B00035">
        <w:t xml:space="preserve"> </w:t>
      </w:r>
    </w:p>
    <w:p w14:paraId="548F97E6" w14:textId="77777777" w:rsidR="00081C1C" w:rsidRDefault="00081C1C" w:rsidP="005A19FD"/>
    <w:tbl>
      <w:tblPr>
        <w:tblStyle w:val="Lysskygge-farve1"/>
        <w:tblW w:w="0" w:type="auto"/>
        <w:tblLook w:val="04A0" w:firstRow="1" w:lastRow="0" w:firstColumn="1" w:lastColumn="0" w:noHBand="0" w:noVBand="1"/>
      </w:tblPr>
      <w:tblGrid>
        <w:gridCol w:w="4821"/>
        <w:gridCol w:w="4817"/>
      </w:tblGrid>
      <w:tr w:rsidR="00165B3E" w:rsidRPr="00165B3E" w14:paraId="121BF47F" w14:textId="77777777" w:rsidTr="00303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403152" w:themeColor="accent3"/>
              <w:bottom w:val="single" w:sz="4" w:space="0" w:color="201829" w:themeColor="accent3" w:themeShade="80"/>
            </w:tcBorders>
            <w:shd w:val="clear" w:color="auto" w:fill="403152" w:themeFill="accent3"/>
          </w:tcPr>
          <w:p w14:paraId="23C33516" w14:textId="77777777" w:rsidR="00FB7C1E" w:rsidRPr="00165B3E" w:rsidRDefault="000D0E77" w:rsidP="000D0E77">
            <w:pPr>
              <w:spacing w:before="60" w:after="60"/>
              <w:rPr>
                <w:color w:val="FFFFFF" w:themeColor="background1"/>
                <w:sz w:val="18"/>
                <w:szCs w:val="18"/>
              </w:rPr>
            </w:pPr>
            <w:r w:rsidRPr="00165B3E">
              <w:rPr>
                <w:color w:val="FFFFFF" w:themeColor="background1"/>
                <w:sz w:val="18"/>
                <w:szCs w:val="18"/>
              </w:rPr>
              <w:lastRenderedPageBreak/>
              <w:t>STYRKER</w:t>
            </w:r>
          </w:p>
        </w:tc>
        <w:tc>
          <w:tcPr>
            <w:tcW w:w="4889" w:type="dxa"/>
            <w:tcBorders>
              <w:top w:val="single" w:sz="4" w:space="0" w:color="403152" w:themeColor="accent3"/>
              <w:bottom w:val="single" w:sz="4" w:space="0" w:color="201829" w:themeColor="accent3" w:themeShade="80"/>
            </w:tcBorders>
            <w:shd w:val="clear" w:color="auto" w:fill="403152" w:themeFill="accent3"/>
          </w:tcPr>
          <w:p w14:paraId="12D8615D" w14:textId="77777777" w:rsidR="00FB7C1E" w:rsidRPr="00165B3E" w:rsidRDefault="000D0E77" w:rsidP="000D0E77">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165B3E">
              <w:rPr>
                <w:color w:val="FFFFFF" w:themeColor="background1"/>
                <w:sz w:val="18"/>
                <w:szCs w:val="18"/>
              </w:rPr>
              <w:t>SVAGHEDER</w:t>
            </w:r>
          </w:p>
        </w:tc>
      </w:tr>
      <w:tr w:rsidR="00B33FF2" w:rsidRPr="000D0E77" w14:paraId="623915FD" w14:textId="77777777" w:rsidTr="0030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201829" w:themeColor="accent3" w:themeShade="80"/>
              <w:bottom w:val="single" w:sz="4" w:space="0" w:color="403152" w:themeColor="accent3"/>
            </w:tcBorders>
            <w:shd w:val="clear" w:color="auto" w:fill="FFFFFF" w:themeFill="background1"/>
          </w:tcPr>
          <w:p w14:paraId="557F5918" w14:textId="77777777" w:rsidR="00D62248" w:rsidRDefault="00D62248" w:rsidP="00D62248">
            <w:pPr>
              <w:pStyle w:val="Listeafsnit"/>
              <w:spacing w:before="60" w:after="60"/>
              <w:rPr>
                <w:b w:val="0"/>
                <w:color w:val="000000" w:themeColor="text1"/>
                <w:sz w:val="18"/>
                <w:szCs w:val="18"/>
              </w:rPr>
            </w:pPr>
          </w:p>
          <w:p w14:paraId="1189C6F6" w14:textId="77777777" w:rsidR="00AC20E8" w:rsidRDefault="001F456D" w:rsidP="00A525E2">
            <w:pPr>
              <w:pStyle w:val="Listeafsnit"/>
              <w:numPr>
                <w:ilvl w:val="0"/>
                <w:numId w:val="7"/>
              </w:numPr>
              <w:spacing w:before="60" w:after="60"/>
              <w:rPr>
                <w:b w:val="0"/>
                <w:color w:val="000000" w:themeColor="text1"/>
                <w:sz w:val="18"/>
                <w:szCs w:val="18"/>
              </w:rPr>
            </w:pPr>
            <w:r>
              <w:rPr>
                <w:b w:val="0"/>
                <w:color w:val="000000" w:themeColor="text1"/>
                <w:sz w:val="18"/>
                <w:szCs w:val="18"/>
              </w:rPr>
              <w:t>Den overordnede</w:t>
            </w:r>
            <w:r w:rsidR="006F2099">
              <w:rPr>
                <w:b w:val="0"/>
                <w:color w:val="000000" w:themeColor="text1"/>
                <w:sz w:val="18"/>
                <w:szCs w:val="18"/>
              </w:rPr>
              <w:t xml:space="preserve"> ledelsesstruktur</w:t>
            </w:r>
            <w:r>
              <w:rPr>
                <w:b w:val="0"/>
                <w:color w:val="000000" w:themeColor="text1"/>
                <w:sz w:val="18"/>
                <w:szCs w:val="18"/>
              </w:rPr>
              <w:t xml:space="preserve"> fungerer hensigtsmæssigt ift. de lokale betingelser</w:t>
            </w:r>
            <w:r w:rsidR="00303D28">
              <w:rPr>
                <w:b w:val="0"/>
                <w:color w:val="000000" w:themeColor="text1"/>
                <w:sz w:val="18"/>
                <w:szCs w:val="18"/>
              </w:rPr>
              <w:t xml:space="preserve"> og fysiske rammer</w:t>
            </w:r>
          </w:p>
          <w:p w14:paraId="6DA28BA7" w14:textId="77777777" w:rsidR="0064627E" w:rsidRPr="0064627E" w:rsidRDefault="007010D6" w:rsidP="0064627E">
            <w:pPr>
              <w:pStyle w:val="Listeafsnit"/>
              <w:numPr>
                <w:ilvl w:val="0"/>
                <w:numId w:val="7"/>
              </w:numPr>
              <w:spacing w:before="60" w:after="60"/>
              <w:rPr>
                <w:b w:val="0"/>
                <w:color w:val="000000" w:themeColor="text1"/>
                <w:sz w:val="18"/>
                <w:szCs w:val="18"/>
              </w:rPr>
            </w:pPr>
            <w:r>
              <w:rPr>
                <w:b w:val="0"/>
                <w:color w:val="000000" w:themeColor="text1"/>
                <w:sz w:val="18"/>
                <w:szCs w:val="18"/>
              </w:rPr>
              <w:t>Musikteatret danner et solidt fundament</w:t>
            </w:r>
            <w:r w:rsidR="0064627E">
              <w:rPr>
                <w:b w:val="0"/>
                <w:color w:val="000000" w:themeColor="text1"/>
                <w:sz w:val="18"/>
                <w:szCs w:val="18"/>
              </w:rPr>
              <w:t xml:space="preserve"> for egnsteatret, med synergi mellem de to parter</w:t>
            </w:r>
          </w:p>
          <w:p w14:paraId="0FD48007" w14:textId="77777777" w:rsidR="006F2099" w:rsidRDefault="006F2099" w:rsidP="00A525E2">
            <w:pPr>
              <w:pStyle w:val="Listeafsnit"/>
              <w:numPr>
                <w:ilvl w:val="0"/>
                <w:numId w:val="7"/>
              </w:numPr>
              <w:spacing w:before="60" w:after="60"/>
              <w:rPr>
                <w:b w:val="0"/>
                <w:color w:val="000000" w:themeColor="text1"/>
                <w:sz w:val="18"/>
                <w:szCs w:val="18"/>
              </w:rPr>
            </w:pPr>
            <w:r>
              <w:rPr>
                <w:b w:val="0"/>
                <w:color w:val="000000" w:themeColor="text1"/>
                <w:sz w:val="18"/>
                <w:szCs w:val="18"/>
              </w:rPr>
              <w:t xml:space="preserve">Udlicitering af teknisk, administrativt personale fungerer hensigtsmæssigt </w:t>
            </w:r>
          </w:p>
          <w:p w14:paraId="664057D8" w14:textId="77777777" w:rsidR="006F2099" w:rsidRPr="001F456D" w:rsidRDefault="006F2099" w:rsidP="003F1149">
            <w:pPr>
              <w:pStyle w:val="Listeafsnit"/>
              <w:numPr>
                <w:ilvl w:val="0"/>
                <w:numId w:val="7"/>
              </w:numPr>
              <w:spacing w:before="60" w:after="60"/>
              <w:rPr>
                <w:color w:val="000000" w:themeColor="text1"/>
                <w:sz w:val="18"/>
                <w:szCs w:val="18"/>
              </w:rPr>
            </w:pPr>
            <w:r w:rsidRPr="001F456D">
              <w:rPr>
                <w:b w:val="0"/>
                <w:color w:val="000000" w:themeColor="text1"/>
                <w:sz w:val="18"/>
                <w:szCs w:val="18"/>
              </w:rPr>
              <w:t xml:space="preserve">Effektiv </w:t>
            </w:r>
            <w:r w:rsidR="001F456D">
              <w:rPr>
                <w:b w:val="0"/>
                <w:color w:val="000000" w:themeColor="text1"/>
                <w:sz w:val="18"/>
                <w:szCs w:val="18"/>
              </w:rPr>
              <w:t xml:space="preserve">koordinering </w:t>
            </w:r>
            <w:r w:rsidRPr="001F456D">
              <w:rPr>
                <w:b w:val="0"/>
                <w:color w:val="000000" w:themeColor="text1"/>
                <w:sz w:val="18"/>
                <w:szCs w:val="18"/>
              </w:rPr>
              <w:t>af forestillinger</w:t>
            </w:r>
            <w:r w:rsidR="001F456D">
              <w:rPr>
                <w:b w:val="0"/>
                <w:color w:val="000000" w:themeColor="text1"/>
                <w:sz w:val="18"/>
                <w:szCs w:val="18"/>
              </w:rPr>
              <w:t>/</w:t>
            </w:r>
            <w:r w:rsidRPr="001F456D">
              <w:rPr>
                <w:b w:val="0"/>
                <w:color w:val="000000" w:themeColor="text1"/>
                <w:sz w:val="18"/>
                <w:szCs w:val="18"/>
              </w:rPr>
              <w:t>arrangementer</w:t>
            </w:r>
            <w:r w:rsidR="001F456D" w:rsidRPr="001F456D">
              <w:rPr>
                <w:color w:val="000000" w:themeColor="text1"/>
                <w:sz w:val="18"/>
                <w:szCs w:val="18"/>
              </w:rPr>
              <w:t xml:space="preserve">; </w:t>
            </w:r>
            <w:r w:rsidR="003F1149" w:rsidRPr="001F456D">
              <w:rPr>
                <w:b w:val="0"/>
                <w:color w:val="000000" w:themeColor="text1"/>
                <w:sz w:val="18"/>
                <w:szCs w:val="18"/>
              </w:rPr>
              <w:t>h</w:t>
            </w:r>
            <w:r w:rsidRPr="001F456D">
              <w:rPr>
                <w:b w:val="0"/>
                <w:color w:val="000000" w:themeColor="text1"/>
                <w:sz w:val="18"/>
                <w:szCs w:val="18"/>
              </w:rPr>
              <w:t>ensigtsmæssig udnyttelse af Musikteatret samlet set</w:t>
            </w:r>
          </w:p>
          <w:p w14:paraId="4D76E85D" w14:textId="77777777" w:rsidR="0064627E" w:rsidRDefault="0064627E" w:rsidP="0064627E">
            <w:pPr>
              <w:pStyle w:val="Listeafsnit"/>
              <w:numPr>
                <w:ilvl w:val="0"/>
                <w:numId w:val="7"/>
              </w:numPr>
              <w:spacing w:before="60" w:after="60"/>
              <w:rPr>
                <w:b w:val="0"/>
                <w:color w:val="000000" w:themeColor="text1"/>
                <w:sz w:val="18"/>
                <w:szCs w:val="18"/>
              </w:rPr>
            </w:pPr>
            <w:r>
              <w:rPr>
                <w:b w:val="0"/>
                <w:color w:val="000000" w:themeColor="text1"/>
                <w:sz w:val="18"/>
                <w:szCs w:val="18"/>
              </w:rPr>
              <w:t>Mangfoldig kunstnerisk forretningsmodel</w:t>
            </w:r>
          </w:p>
          <w:p w14:paraId="65BD0B07" w14:textId="77777777" w:rsidR="003F1149" w:rsidRDefault="003F1149" w:rsidP="00A525E2">
            <w:pPr>
              <w:pStyle w:val="Listeafsnit"/>
              <w:numPr>
                <w:ilvl w:val="0"/>
                <w:numId w:val="7"/>
              </w:numPr>
              <w:spacing w:before="60" w:after="60"/>
              <w:rPr>
                <w:b w:val="0"/>
                <w:color w:val="000000" w:themeColor="text1"/>
                <w:sz w:val="18"/>
                <w:szCs w:val="18"/>
              </w:rPr>
            </w:pPr>
            <w:r>
              <w:rPr>
                <w:b w:val="0"/>
                <w:color w:val="000000" w:themeColor="text1"/>
                <w:sz w:val="18"/>
                <w:szCs w:val="18"/>
              </w:rPr>
              <w:t>Overperformance ift. produktioner, visninger og publikumstilslutninger</w:t>
            </w:r>
          </w:p>
          <w:p w14:paraId="205D042E" w14:textId="77777777" w:rsidR="003F1149" w:rsidRDefault="003F1149" w:rsidP="00A525E2">
            <w:pPr>
              <w:pStyle w:val="Listeafsnit"/>
              <w:numPr>
                <w:ilvl w:val="0"/>
                <w:numId w:val="7"/>
              </w:numPr>
              <w:spacing w:before="60" w:after="60"/>
              <w:rPr>
                <w:b w:val="0"/>
                <w:color w:val="000000" w:themeColor="text1"/>
                <w:sz w:val="18"/>
                <w:szCs w:val="18"/>
              </w:rPr>
            </w:pPr>
            <w:r>
              <w:rPr>
                <w:b w:val="0"/>
                <w:color w:val="000000" w:themeColor="text1"/>
                <w:sz w:val="18"/>
                <w:szCs w:val="18"/>
              </w:rPr>
              <w:t>Høj kunstnerisk kval</w:t>
            </w:r>
            <w:r w:rsidR="00303D28">
              <w:rPr>
                <w:b w:val="0"/>
                <w:color w:val="000000" w:themeColor="text1"/>
                <w:sz w:val="18"/>
                <w:szCs w:val="18"/>
              </w:rPr>
              <w:t xml:space="preserve">itet på de sete forestillinger  </w:t>
            </w:r>
          </w:p>
          <w:p w14:paraId="2B761D1F" w14:textId="77777777" w:rsidR="00303D28" w:rsidRDefault="00303D28" w:rsidP="00A525E2">
            <w:pPr>
              <w:pStyle w:val="Listeafsnit"/>
              <w:numPr>
                <w:ilvl w:val="0"/>
                <w:numId w:val="7"/>
              </w:numPr>
              <w:spacing w:before="60" w:after="60"/>
              <w:rPr>
                <w:b w:val="0"/>
                <w:color w:val="000000" w:themeColor="text1"/>
                <w:sz w:val="18"/>
                <w:szCs w:val="18"/>
              </w:rPr>
            </w:pPr>
            <w:r>
              <w:rPr>
                <w:b w:val="0"/>
                <w:color w:val="000000" w:themeColor="text1"/>
                <w:sz w:val="18"/>
                <w:szCs w:val="18"/>
              </w:rPr>
              <w:t>Begyndende konsolidering af egnsteatret generelt</w:t>
            </w:r>
          </w:p>
          <w:p w14:paraId="6D4801E1" w14:textId="77777777" w:rsidR="00FB291E" w:rsidRDefault="00A37CA5" w:rsidP="00A525E2">
            <w:pPr>
              <w:pStyle w:val="Listeafsnit"/>
              <w:numPr>
                <w:ilvl w:val="0"/>
                <w:numId w:val="7"/>
              </w:numPr>
              <w:spacing w:before="60" w:after="60"/>
              <w:rPr>
                <w:b w:val="0"/>
                <w:color w:val="000000" w:themeColor="text1"/>
                <w:sz w:val="18"/>
                <w:szCs w:val="18"/>
              </w:rPr>
            </w:pPr>
            <w:r>
              <w:rPr>
                <w:b w:val="0"/>
                <w:color w:val="000000" w:themeColor="text1"/>
                <w:sz w:val="18"/>
                <w:szCs w:val="18"/>
              </w:rPr>
              <w:t>Godt p</w:t>
            </w:r>
            <w:r w:rsidR="00FB291E">
              <w:rPr>
                <w:b w:val="0"/>
                <w:color w:val="000000" w:themeColor="text1"/>
                <w:sz w:val="18"/>
                <w:szCs w:val="18"/>
              </w:rPr>
              <w:t>å vej med lokale samarbejder</w:t>
            </w:r>
          </w:p>
          <w:p w14:paraId="7E7D09D9" w14:textId="77777777" w:rsidR="00A525E2" w:rsidRDefault="00A37CA5" w:rsidP="00A525E2">
            <w:pPr>
              <w:pStyle w:val="Listeafsnit"/>
              <w:numPr>
                <w:ilvl w:val="0"/>
                <w:numId w:val="7"/>
              </w:numPr>
              <w:spacing w:before="60" w:after="60"/>
              <w:rPr>
                <w:b w:val="0"/>
                <w:color w:val="000000" w:themeColor="text1"/>
                <w:sz w:val="18"/>
                <w:szCs w:val="18"/>
              </w:rPr>
            </w:pPr>
            <w:r>
              <w:rPr>
                <w:b w:val="0"/>
                <w:color w:val="000000" w:themeColor="text1"/>
                <w:sz w:val="18"/>
                <w:szCs w:val="18"/>
              </w:rPr>
              <w:t>Godt p</w:t>
            </w:r>
            <w:r w:rsidR="00A525E2">
              <w:rPr>
                <w:b w:val="0"/>
                <w:color w:val="000000" w:themeColor="text1"/>
                <w:sz w:val="18"/>
                <w:szCs w:val="18"/>
              </w:rPr>
              <w:t>å vej med lokal forankring</w:t>
            </w:r>
          </w:p>
          <w:p w14:paraId="1DEFC671" w14:textId="77777777" w:rsidR="00A1390A" w:rsidRDefault="00A1390A" w:rsidP="001F456D">
            <w:pPr>
              <w:pStyle w:val="Listeafsnit"/>
              <w:numPr>
                <w:ilvl w:val="0"/>
                <w:numId w:val="7"/>
              </w:numPr>
              <w:spacing w:before="60" w:after="60"/>
              <w:rPr>
                <w:b w:val="0"/>
                <w:color w:val="000000" w:themeColor="text1"/>
                <w:sz w:val="18"/>
                <w:szCs w:val="18"/>
              </w:rPr>
            </w:pPr>
            <w:r>
              <w:rPr>
                <w:b w:val="0"/>
                <w:color w:val="000000" w:themeColor="text1"/>
                <w:sz w:val="18"/>
                <w:szCs w:val="18"/>
              </w:rPr>
              <w:t>Professionel presse- og markedsføringsapparat</w:t>
            </w:r>
          </w:p>
          <w:p w14:paraId="129C933A" w14:textId="77777777" w:rsidR="002A499E" w:rsidRPr="001F456D" w:rsidRDefault="00A525E2" w:rsidP="001F456D">
            <w:pPr>
              <w:pStyle w:val="Listeafsnit"/>
              <w:numPr>
                <w:ilvl w:val="0"/>
                <w:numId w:val="7"/>
              </w:numPr>
              <w:spacing w:before="60" w:after="60"/>
              <w:rPr>
                <w:b w:val="0"/>
                <w:color w:val="000000" w:themeColor="text1"/>
                <w:sz w:val="18"/>
                <w:szCs w:val="18"/>
              </w:rPr>
            </w:pPr>
            <w:r>
              <w:rPr>
                <w:b w:val="0"/>
                <w:color w:val="000000" w:themeColor="text1"/>
                <w:sz w:val="18"/>
                <w:szCs w:val="18"/>
              </w:rPr>
              <w:t>Hø</w:t>
            </w:r>
            <w:r w:rsidR="001F456D">
              <w:rPr>
                <w:b w:val="0"/>
                <w:color w:val="000000" w:themeColor="text1"/>
                <w:sz w:val="18"/>
                <w:szCs w:val="18"/>
              </w:rPr>
              <w:t>j</w:t>
            </w:r>
            <w:r>
              <w:rPr>
                <w:b w:val="0"/>
                <w:color w:val="000000" w:themeColor="text1"/>
                <w:sz w:val="18"/>
                <w:szCs w:val="18"/>
              </w:rPr>
              <w:t xml:space="preserve"> grad af synlighed på </w:t>
            </w:r>
            <w:r w:rsidRPr="00F96263">
              <w:rPr>
                <w:b w:val="0"/>
                <w:i/>
                <w:color w:val="000000" w:themeColor="text1"/>
                <w:sz w:val="18"/>
                <w:szCs w:val="18"/>
              </w:rPr>
              <w:t>forestillingerne</w:t>
            </w:r>
            <w:r>
              <w:rPr>
                <w:b w:val="0"/>
                <w:color w:val="000000" w:themeColor="text1"/>
                <w:sz w:val="18"/>
                <w:szCs w:val="18"/>
              </w:rPr>
              <w:t xml:space="preserve"> i Black Box Theatre</w:t>
            </w:r>
            <w:r w:rsidR="001F456D">
              <w:rPr>
                <w:b w:val="0"/>
                <w:color w:val="000000" w:themeColor="text1"/>
                <w:sz w:val="18"/>
                <w:szCs w:val="18"/>
              </w:rPr>
              <w:br/>
            </w:r>
          </w:p>
        </w:tc>
        <w:tc>
          <w:tcPr>
            <w:tcW w:w="4889" w:type="dxa"/>
            <w:tcBorders>
              <w:top w:val="single" w:sz="4" w:space="0" w:color="201829" w:themeColor="accent3" w:themeShade="80"/>
              <w:bottom w:val="single" w:sz="4" w:space="0" w:color="403152" w:themeColor="accent3"/>
            </w:tcBorders>
            <w:shd w:val="clear" w:color="auto" w:fill="FFFFFF" w:themeFill="background1"/>
          </w:tcPr>
          <w:p w14:paraId="1BC8D810" w14:textId="77777777" w:rsidR="00D62248" w:rsidRPr="00D62248" w:rsidRDefault="00D62248" w:rsidP="00D6224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31595F0" w14:textId="77777777" w:rsidR="00BF5C03" w:rsidRPr="009F02D4" w:rsidRDefault="00BF5C03" w:rsidP="009F02D4">
            <w:pPr>
              <w:pStyle w:val="Listeafsnit"/>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Uhensigtsmæssig </w:t>
            </w:r>
            <w:r w:rsidR="009F02D4" w:rsidRPr="009F02D4">
              <w:rPr>
                <w:color w:val="000000" w:themeColor="text1"/>
                <w:sz w:val="18"/>
                <w:szCs w:val="18"/>
              </w:rPr>
              <w:t>procedure for bestyrelsessammensætning</w:t>
            </w:r>
          </w:p>
          <w:p w14:paraId="6E25CD89" w14:textId="77777777" w:rsidR="00AA3872" w:rsidRDefault="00AA3872" w:rsidP="006F2099">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Stor personafhængighed på ledende poster</w:t>
            </w:r>
          </w:p>
          <w:p w14:paraId="3B4AE733" w14:textId="77777777" w:rsidR="00236E4C" w:rsidRDefault="00236E4C" w:rsidP="006F2099">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Omkostningstunge </w:t>
            </w:r>
            <w:r w:rsidR="00B54E1B">
              <w:rPr>
                <w:color w:val="000000" w:themeColor="text1"/>
                <w:sz w:val="18"/>
                <w:szCs w:val="18"/>
              </w:rPr>
              <w:t xml:space="preserve">aftaler vedr. </w:t>
            </w:r>
            <w:r>
              <w:rPr>
                <w:color w:val="000000" w:themeColor="text1"/>
                <w:sz w:val="18"/>
                <w:szCs w:val="18"/>
              </w:rPr>
              <w:t>administration</w:t>
            </w:r>
            <w:r w:rsidR="00B54E1B">
              <w:rPr>
                <w:color w:val="000000" w:themeColor="text1"/>
                <w:sz w:val="18"/>
                <w:szCs w:val="18"/>
              </w:rPr>
              <w:t>s</w:t>
            </w:r>
            <w:r w:rsidR="00A1390A">
              <w:rPr>
                <w:color w:val="000000" w:themeColor="text1"/>
                <w:sz w:val="18"/>
                <w:szCs w:val="18"/>
              </w:rPr>
              <w:t>,</w:t>
            </w:r>
            <w:r>
              <w:rPr>
                <w:color w:val="000000" w:themeColor="text1"/>
                <w:sz w:val="18"/>
                <w:szCs w:val="18"/>
              </w:rPr>
              <w:t xml:space="preserve"> husleje</w:t>
            </w:r>
            <w:r w:rsidR="00B54E1B">
              <w:rPr>
                <w:color w:val="000000" w:themeColor="text1"/>
                <w:sz w:val="18"/>
                <w:szCs w:val="18"/>
              </w:rPr>
              <w:t xml:space="preserve"> og teknik-/service</w:t>
            </w:r>
          </w:p>
          <w:p w14:paraId="4394659F" w14:textId="77777777" w:rsidR="00205FA0" w:rsidRDefault="006F2099" w:rsidP="006F2099">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Fragmenteret/uklart billede af de tre kunstneriske genrer i egnsteatret</w:t>
            </w:r>
          </w:p>
          <w:p w14:paraId="2F0B534A" w14:textId="77777777" w:rsidR="00236E4C" w:rsidRDefault="00236E4C" w:rsidP="006F2099">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Uskarp profil mellem Black Box Theatres teaterkoncertdel og Musikteatrets udbud</w:t>
            </w:r>
          </w:p>
          <w:p w14:paraId="6086FF25" w14:textId="77777777" w:rsidR="00A525E2" w:rsidRDefault="00A525E2" w:rsidP="006F2099">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Utilstrækkelig synlighed på </w:t>
            </w:r>
            <w:r w:rsidRPr="00F96263">
              <w:rPr>
                <w:i/>
                <w:color w:val="000000" w:themeColor="text1"/>
                <w:sz w:val="18"/>
                <w:szCs w:val="18"/>
              </w:rPr>
              <w:t>egnsteatret</w:t>
            </w:r>
            <w:r>
              <w:rPr>
                <w:color w:val="000000" w:themeColor="text1"/>
                <w:sz w:val="18"/>
                <w:szCs w:val="18"/>
              </w:rPr>
              <w:t xml:space="preserve"> Black Box The</w:t>
            </w:r>
            <w:r w:rsidR="0084612A">
              <w:rPr>
                <w:color w:val="000000" w:themeColor="text1"/>
                <w:sz w:val="18"/>
                <w:szCs w:val="18"/>
              </w:rPr>
              <w:t>atr</w:t>
            </w:r>
            <w:r>
              <w:rPr>
                <w:color w:val="000000" w:themeColor="text1"/>
                <w:sz w:val="18"/>
                <w:szCs w:val="18"/>
              </w:rPr>
              <w:t>e</w:t>
            </w:r>
            <w:r w:rsidR="00B54E1B">
              <w:rPr>
                <w:color w:val="000000" w:themeColor="text1"/>
                <w:sz w:val="18"/>
                <w:szCs w:val="18"/>
              </w:rPr>
              <w:t>, herunder mangelfuld hjemmeside</w:t>
            </w:r>
          </w:p>
          <w:p w14:paraId="35F7104C" w14:textId="77777777" w:rsidR="00FB291E" w:rsidRPr="006F2099" w:rsidRDefault="00FB291E" w:rsidP="00FB291E">
            <w:pPr>
              <w:pStyle w:val="Listeafsnit"/>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Endnu ikke fornøden lokal forankring af egnsteatret</w:t>
            </w:r>
          </w:p>
        </w:tc>
      </w:tr>
      <w:tr w:rsidR="00165B3E" w:rsidRPr="00165B3E" w14:paraId="45910DF6" w14:textId="77777777" w:rsidTr="003035E4">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403152" w:themeColor="accent3"/>
              <w:bottom w:val="single" w:sz="4" w:space="0" w:color="403152" w:themeColor="accent3"/>
            </w:tcBorders>
            <w:shd w:val="clear" w:color="auto" w:fill="403152" w:themeFill="accent3"/>
          </w:tcPr>
          <w:p w14:paraId="430D77B5" w14:textId="77777777" w:rsidR="00FB7C1E" w:rsidRPr="00165B3E" w:rsidRDefault="000D0E77" w:rsidP="000D0E77">
            <w:pPr>
              <w:spacing w:before="60" w:after="60"/>
              <w:rPr>
                <w:color w:val="FFFFFF" w:themeColor="background1"/>
                <w:sz w:val="18"/>
                <w:szCs w:val="18"/>
              </w:rPr>
            </w:pPr>
            <w:r w:rsidRPr="00165B3E">
              <w:rPr>
                <w:color w:val="FFFFFF" w:themeColor="background1"/>
                <w:sz w:val="18"/>
                <w:szCs w:val="18"/>
              </w:rPr>
              <w:t>MULIGHEDER</w:t>
            </w:r>
          </w:p>
        </w:tc>
        <w:tc>
          <w:tcPr>
            <w:tcW w:w="4889" w:type="dxa"/>
            <w:tcBorders>
              <w:top w:val="single" w:sz="4" w:space="0" w:color="403152" w:themeColor="accent3"/>
              <w:bottom w:val="single" w:sz="4" w:space="0" w:color="403152" w:themeColor="accent3"/>
            </w:tcBorders>
            <w:shd w:val="clear" w:color="auto" w:fill="403152" w:themeFill="accent3"/>
          </w:tcPr>
          <w:p w14:paraId="76B62AB3" w14:textId="77777777" w:rsidR="00FB7C1E" w:rsidRPr="00165B3E" w:rsidRDefault="000D0E77" w:rsidP="000D0E77">
            <w:pPr>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165B3E">
              <w:rPr>
                <w:b/>
                <w:color w:val="FFFFFF" w:themeColor="background1"/>
                <w:sz w:val="18"/>
                <w:szCs w:val="18"/>
              </w:rPr>
              <w:t>TRUSLER</w:t>
            </w:r>
          </w:p>
        </w:tc>
      </w:tr>
      <w:tr w:rsidR="00B33FF2" w:rsidRPr="000D0E77" w14:paraId="6202F74D" w14:textId="77777777" w:rsidTr="0030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403152" w:themeColor="accent3"/>
              <w:bottom w:val="single" w:sz="4" w:space="0" w:color="403152" w:themeColor="accent3"/>
            </w:tcBorders>
            <w:shd w:val="clear" w:color="auto" w:fill="FFFFFF" w:themeFill="background1"/>
          </w:tcPr>
          <w:p w14:paraId="68D176CC" w14:textId="77777777" w:rsidR="00D62248" w:rsidRDefault="00D62248" w:rsidP="00D62248">
            <w:pPr>
              <w:pStyle w:val="Listeafsnit"/>
              <w:spacing w:before="60" w:after="60"/>
              <w:rPr>
                <w:b w:val="0"/>
                <w:color w:val="000000" w:themeColor="text1"/>
                <w:sz w:val="18"/>
                <w:szCs w:val="18"/>
              </w:rPr>
            </w:pPr>
          </w:p>
          <w:p w14:paraId="46C7678C" w14:textId="77777777" w:rsidR="00EB320A" w:rsidRPr="009F02D4" w:rsidRDefault="00B525C5" w:rsidP="00EB320A">
            <w:pPr>
              <w:pStyle w:val="Listeafsnit"/>
              <w:numPr>
                <w:ilvl w:val="0"/>
                <w:numId w:val="8"/>
              </w:numPr>
              <w:spacing w:before="60" w:after="60"/>
              <w:rPr>
                <w:b w:val="0"/>
                <w:color w:val="000000" w:themeColor="text1"/>
                <w:sz w:val="18"/>
                <w:szCs w:val="18"/>
              </w:rPr>
            </w:pPr>
            <w:r w:rsidRPr="009F02D4">
              <w:rPr>
                <w:b w:val="0"/>
                <w:color w:val="000000" w:themeColor="text1"/>
                <w:sz w:val="18"/>
                <w:szCs w:val="18"/>
              </w:rPr>
              <w:t xml:space="preserve">Etablering af ny </w:t>
            </w:r>
            <w:r w:rsidR="009F02D4">
              <w:rPr>
                <w:b w:val="0"/>
                <w:color w:val="000000" w:themeColor="text1"/>
                <w:sz w:val="18"/>
                <w:szCs w:val="18"/>
              </w:rPr>
              <w:t>procedure for bestyrelsessammensætning</w:t>
            </w:r>
            <w:r w:rsidR="00EB320A">
              <w:rPr>
                <w:b w:val="0"/>
                <w:color w:val="000000" w:themeColor="text1"/>
                <w:sz w:val="18"/>
                <w:szCs w:val="18"/>
              </w:rPr>
              <w:t>, herunder s</w:t>
            </w:r>
            <w:r w:rsidR="00EB320A" w:rsidRPr="009F02D4">
              <w:rPr>
                <w:b w:val="0"/>
                <w:color w:val="000000" w:themeColor="text1"/>
                <w:sz w:val="18"/>
                <w:szCs w:val="18"/>
              </w:rPr>
              <w:t>tyrkelse af bestyrelsens kompetenceprofil</w:t>
            </w:r>
            <w:r w:rsidR="00EB320A">
              <w:rPr>
                <w:b w:val="0"/>
                <w:color w:val="000000" w:themeColor="text1"/>
                <w:sz w:val="18"/>
                <w:szCs w:val="18"/>
              </w:rPr>
              <w:t xml:space="preserve"> mhp. teaterfaglighed</w:t>
            </w:r>
          </w:p>
          <w:p w14:paraId="6ADC2DDD" w14:textId="77777777" w:rsidR="00F40517" w:rsidRDefault="00236E4C" w:rsidP="00375AD2">
            <w:pPr>
              <w:pStyle w:val="Listeafsnit"/>
              <w:numPr>
                <w:ilvl w:val="0"/>
                <w:numId w:val="8"/>
              </w:numPr>
              <w:spacing w:before="60" w:after="60"/>
              <w:rPr>
                <w:b w:val="0"/>
                <w:color w:val="000000" w:themeColor="text1"/>
                <w:sz w:val="18"/>
                <w:szCs w:val="18"/>
              </w:rPr>
            </w:pPr>
            <w:r>
              <w:rPr>
                <w:b w:val="0"/>
                <w:color w:val="000000" w:themeColor="text1"/>
                <w:sz w:val="18"/>
                <w:szCs w:val="18"/>
              </w:rPr>
              <w:t>Øget f</w:t>
            </w:r>
            <w:r w:rsidR="006F2099">
              <w:rPr>
                <w:b w:val="0"/>
                <w:color w:val="000000" w:themeColor="text1"/>
                <w:sz w:val="18"/>
                <w:szCs w:val="18"/>
              </w:rPr>
              <w:t>okusering på</w:t>
            </w:r>
            <w:r>
              <w:rPr>
                <w:b w:val="0"/>
                <w:color w:val="000000" w:themeColor="text1"/>
                <w:sz w:val="18"/>
                <w:szCs w:val="18"/>
              </w:rPr>
              <w:t xml:space="preserve"> og eksponering af</w:t>
            </w:r>
            <w:r w:rsidR="006F2099">
              <w:rPr>
                <w:b w:val="0"/>
                <w:color w:val="000000" w:themeColor="text1"/>
                <w:sz w:val="18"/>
                <w:szCs w:val="18"/>
              </w:rPr>
              <w:t xml:space="preserve"> de tre kunstneriske genrer i egnsteatret</w:t>
            </w:r>
          </w:p>
          <w:p w14:paraId="1BD8667B" w14:textId="77777777" w:rsidR="00A37E2A" w:rsidRDefault="00A37E2A" w:rsidP="00375AD2">
            <w:pPr>
              <w:pStyle w:val="Listeafsnit"/>
              <w:numPr>
                <w:ilvl w:val="0"/>
                <w:numId w:val="8"/>
              </w:numPr>
              <w:spacing w:before="60" w:after="60"/>
              <w:rPr>
                <w:b w:val="0"/>
                <w:color w:val="000000" w:themeColor="text1"/>
                <w:sz w:val="18"/>
                <w:szCs w:val="18"/>
              </w:rPr>
            </w:pPr>
            <w:r>
              <w:rPr>
                <w:b w:val="0"/>
                <w:color w:val="000000" w:themeColor="text1"/>
                <w:sz w:val="18"/>
                <w:szCs w:val="18"/>
              </w:rPr>
              <w:t>Kunstnerisk samarbejde på tværs af de tre genrer</w:t>
            </w:r>
          </w:p>
          <w:p w14:paraId="57E04570" w14:textId="77777777" w:rsidR="002A499E" w:rsidRPr="009F02D4" w:rsidRDefault="00D358B2" w:rsidP="00D358B2">
            <w:pPr>
              <w:pStyle w:val="Listeafsnit"/>
              <w:numPr>
                <w:ilvl w:val="0"/>
                <w:numId w:val="8"/>
              </w:numPr>
              <w:spacing w:before="60" w:after="60"/>
              <w:rPr>
                <w:b w:val="0"/>
                <w:color w:val="000000" w:themeColor="text1"/>
                <w:sz w:val="18"/>
                <w:szCs w:val="18"/>
              </w:rPr>
            </w:pPr>
            <w:r>
              <w:rPr>
                <w:b w:val="0"/>
                <w:color w:val="000000" w:themeColor="text1"/>
                <w:sz w:val="18"/>
                <w:szCs w:val="18"/>
              </w:rPr>
              <w:t>Udvikling af teaterkoncertkonceptet samt cross overs mellem teaterkoncert og dans</w:t>
            </w:r>
            <w:r w:rsidR="00236E4C">
              <w:rPr>
                <w:b w:val="0"/>
                <w:color w:val="000000" w:themeColor="text1"/>
                <w:sz w:val="18"/>
                <w:szCs w:val="18"/>
              </w:rPr>
              <w:t xml:space="preserve"> (og b</w:t>
            </w:r>
            <w:r w:rsidR="00236E4C" w:rsidRPr="009F02D4">
              <w:rPr>
                <w:b w:val="0"/>
                <w:color w:val="000000" w:themeColor="text1"/>
                <w:sz w:val="18"/>
                <w:szCs w:val="18"/>
              </w:rPr>
              <w:t>ørneteatret)</w:t>
            </w:r>
          </w:p>
          <w:p w14:paraId="51D4C1D6" w14:textId="77777777" w:rsidR="00001D6A" w:rsidRPr="009F02D4" w:rsidRDefault="00001D6A" w:rsidP="00D358B2">
            <w:pPr>
              <w:pStyle w:val="Listeafsnit"/>
              <w:numPr>
                <w:ilvl w:val="0"/>
                <w:numId w:val="8"/>
              </w:numPr>
              <w:spacing w:before="60" w:after="60"/>
              <w:rPr>
                <w:b w:val="0"/>
                <w:color w:val="000000" w:themeColor="text1"/>
                <w:sz w:val="18"/>
                <w:szCs w:val="18"/>
              </w:rPr>
            </w:pPr>
            <w:r w:rsidRPr="009F02D4">
              <w:rPr>
                <w:b w:val="0"/>
                <w:color w:val="000000" w:themeColor="text1"/>
                <w:sz w:val="18"/>
                <w:szCs w:val="18"/>
              </w:rPr>
              <w:t>Øget (tværkunstnerisk) samarbejde med Dansk Talentakademi</w:t>
            </w:r>
            <w:r w:rsidR="0073778C" w:rsidRPr="009F02D4">
              <w:rPr>
                <w:b w:val="0"/>
                <w:color w:val="000000" w:themeColor="text1"/>
                <w:sz w:val="18"/>
                <w:szCs w:val="18"/>
              </w:rPr>
              <w:t xml:space="preserve"> og Balletakademiet</w:t>
            </w:r>
          </w:p>
          <w:p w14:paraId="6A1D1B03" w14:textId="77777777" w:rsidR="003129FD" w:rsidRPr="009F02D4" w:rsidRDefault="003129FD" w:rsidP="00A37E2A">
            <w:pPr>
              <w:pStyle w:val="Listeafsnit"/>
              <w:numPr>
                <w:ilvl w:val="0"/>
                <w:numId w:val="8"/>
              </w:numPr>
              <w:rPr>
                <w:b w:val="0"/>
                <w:color w:val="000000" w:themeColor="text1"/>
                <w:sz w:val="18"/>
                <w:szCs w:val="18"/>
              </w:rPr>
            </w:pPr>
            <w:r>
              <w:rPr>
                <w:b w:val="0"/>
                <w:color w:val="000000" w:themeColor="text1"/>
                <w:sz w:val="18"/>
                <w:szCs w:val="18"/>
              </w:rPr>
              <w:t xml:space="preserve">Strategiseminar med skærpelse af kunstnerisk profil </w:t>
            </w:r>
            <w:r w:rsidRPr="009F02D4">
              <w:rPr>
                <w:b w:val="0"/>
                <w:color w:val="000000" w:themeColor="text1"/>
                <w:sz w:val="18"/>
                <w:szCs w:val="18"/>
              </w:rPr>
              <w:t>og indre sammenhængskraft</w:t>
            </w:r>
            <w:r w:rsidR="0073778C" w:rsidRPr="009F02D4">
              <w:rPr>
                <w:b w:val="0"/>
                <w:color w:val="000000" w:themeColor="text1"/>
                <w:sz w:val="18"/>
                <w:szCs w:val="18"/>
              </w:rPr>
              <w:t>, evt. sammen med bestyrelsen</w:t>
            </w:r>
          </w:p>
          <w:p w14:paraId="79A22DFC" w14:textId="77777777" w:rsidR="00A37E2A" w:rsidRPr="009F02D4" w:rsidRDefault="00216C24" w:rsidP="00585E55">
            <w:pPr>
              <w:pStyle w:val="Listeafsnit"/>
              <w:numPr>
                <w:ilvl w:val="0"/>
                <w:numId w:val="8"/>
              </w:numPr>
              <w:rPr>
                <w:b w:val="0"/>
                <w:color w:val="000000" w:themeColor="text1"/>
                <w:sz w:val="18"/>
                <w:szCs w:val="18"/>
              </w:rPr>
            </w:pPr>
            <w:r w:rsidRPr="009F02D4">
              <w:rPr>
                <w:b w:val="0"/>
                <w:color w:val="000000" w:themeColor="text1"/>
                <w:sz w:val="18"/>
                <w:szCs w:val="18"/>
              </w:rPr>
              <w:t>Øget prioritering af lokale scenekunstrelevante aktiviteter</w:t>
            </w:r>
          </w:p>
          <w:p w14:paraId="5DCB0BF7" w14:textId="77777777" w:rsidR="00216C24" w:rsidRPr="009F02D4" w:rsidRDefault="00216C24" w:rsidP="00585E55">
            <w:pPr>
              <w:pStyle w:val="Listeafsnit"/>
              <w:numPr>
                <w:ilvl w:val="0"/>
                <w:numId w:val="8"/>
              </w:numPr>
              <w:rPr>
                <w:b w:val="0"/>
                <w:color w:val="000000" w:themeColor="text1"/>
                <w:sz w:val="18"/>
                <w:szCs w:val="18"/>
              </w:rPr>
            </w:pPr>
            <w:r w:rsidRPr="009F02D4">
              <w:rPr>
                <w:b w:val="0"/>
                <w:color w:val="000000" w:themeColor="text1"/>
                <w:sz w:val="18"/>
                <w:szCs w:val="18"/>
              </w:rPr>
              <w:t>Øget synliggørelse og branding af egnsteatret Black Box Theatre i Holstebro</w:t>
            </w:r>
            <w:r w:rsidR="00BF5C03" w:rsidRPr="009F02D4">
              <w:rPr>
                <w:b w:val="0"/>
                <w:color w:val="000000" w:themeColor="text1"/>
                <w:sz w:val="18"/>
                <w:szCs w:val="18"/>
              </w:rPr>
              <w:t>, en mere klar kunstnerisk signatur</w:t>
            </w:r>
            <w:r w:rsidR="00001D6A" w:rsidRPr="009F02D4">
              <w:rPr>
                <w:b w:val="0"/>
                <w:color w:val="000000" w:themeColor="text1"/>
                <w:sz w:val="18"/>
                <w:szCs w:val="18"/>
              </w:rPr>
              <w:t xml:space="preserve"> </w:t>
            </w:r>
            <w:r w:rsidR="0073778C" w:rsidRPr="009F02D4">
              <w:rPr>
                <w:b w:val="0"/>
                <w:color w:val="000000" w:themeColor="text1"/>
                <w:sz w:val="18"/>
                <w:szCs w:val="18"/>
              </w:rPr>
              <w:t>og bevidst balancering mellem de tre sub brands</w:t>
            </w:r>
          </w:p>
          <w:p w14:paraId="5196E077" w14:textId="77777777" w:rsidR="00A525E2" w:rsidRPr="00375AD2" w:rsidRDefault="00A525E2" w:rsidP="00A525E2">
            <w:pPr>
              <w:pStyle w:val="Listeafsnit"/>
              <w:spacing w:before="60" w:after="60"/>
              <w:rPr>
                <w:b w:val="0"/>
                <w:color w:val="000000" w:themeColor="text1"/>
                <w:sz w:val="18"/>
                <w:szCs w:val="18"/>
              </w:rPr>
            </w:pPr>
          </w:p>
        </w:tc>
        <w:tc>
          <w:tcPr>
            <w:tcW w:w="4889" w:type="dxa"/>
            <w:tcBorders>
              <w:top w:val="single" w:sz="4" w:space="0" w:color="403152" w:themeColor="accent3"/>
              <w:bottom w:val="single" w:sz="4" w:space="0" w:color="403152" w:themeColor="accent3"/>
            </w:tcBorders>
            <w:shd w:val="clear" w:color="auto" w:fill="FFFFFF" w:themeFill="background1"/>
          </w:tcPr>
          <w:p w14:paraId="242E17FD" w14:textId="77777777" w:rsidR="00D62248" w:rsidRDefault="00D62248" w:rsidP="00D62248">
            <w:pPr>
              <w:pStyle w:val="Listeafsnit"/>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75B07D3" w14:textId="77777777" w:rsidR="00FB7C1E" w:rsidRDefault="00A525E2" w:rsidP="00A525E2">
            <w:pPr>
              <w:pStyle w:val="Listeafsnit"/>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Krav om mere </w:t>
            </w:r>
            <w:r w:rsidR="00236E4C">
              <w:rPr>
                <w:color w:val="000000" w:themeColor="text1"/>
                <w:sz w:val="18"/>
                <w:szCs w:val="18"/>
              </w:rPr>
              <w:t xml:space="preserve">organisatorisk </w:t>
            </w:r>
            <w:r>
              <w:rPr>
                <w:color w:val="000000" w:themeColor="text1"/>
                <w:sz w:val="18"/>
                <w:szCs w:val="18"/>
              </w:rPr>
              <w:t>adskillelse fra kommunal eller statslig bidragsyder</w:t>
            </w:r>
          </w:p>
          <w:p w14:paraId="1A47E500" w14:textId="77777777" w:rsidR="00CD13B9" w:rsidRPr="009F02D4" w:rsidRDefault="00CD13B9" w:rsidP="00A525E2">
            <w:pPr>
              <w:pStyle w:val="Listeafsnit"/>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F02D4">
              <w:rPr>
                <w:color w:val="000000" w:themeColor="text1"/>
                <w:sz w:val="18"/>
                <w:szCs w:val="18"/>
              </w:rPr>
              <w:t>Hvis en af de centrale personer stopper</w:t>
            </w:r>
          </w:p>
          <w:p w14:paraId="5328DF14" w14:textId="77777777" w:rsidR="00A525E2" w:rsidRPr="00A525E2" w:rsidRDefault="00A525E2" w:rsidP="0073778C">
            <w:pPr>
              <w:pStyle w:val="Listeafsnit"/>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26D63A89" w14:textId="77777777" w:rsidR="00FB7C1E" w:rsidRDefault="00FB7C1E" w:rsidP="005A19FD"/>
    <w:p w14:paraId="03907363" w14:textId="77777777" w:rsidR="000D0E77" w:rsidRDefault="000D0E77" w:rsidP="005A19FD"/>
    <w:p w14:paraId="57A759BB" w14:textId="77777777" w:rsidR="005A19FD" w:rsidRDefault="005A19FD" w:rsidP="000F670D">
      <w:pPr>
        <w:pStyle w:val="Listeafsnit"/>
      </w:pPr>
    </w:p>
    <w:p w14:paraId="4A2A40B0" w14:textId="77777777" w:rsidR="007425B2" w:rsidRPr="00165B3E" w:rsidRDefault="007425B2" w:rsidP="00165B3E">
      <w:pPr>
        <w:pStyle w:val="Overskrift1"/>
      </w:pPr>
      <w:bookmarkStart w:id="2" w:name="_Toc484674619"/>
      <w:r w:rsidRPr="00165B3E">
        <w:lastRenderedPageBreak/>
        <w:t>Rammer og tal</w:t>
      </w:r>
      <w:bookmarkEnd w:id="2"/>
    </w:p>
    <w:p w14:paraId="52006D0A" w14:textId="77777777" w:rsidR="000D0E77" w:rsidRPr="00165B3E" w:rsidRDefault="000F670D" w:rsidP="00165B3E">
      <w:pPr>
        <w:pStyle w:val="Overskrift2"/>
      </w:pPr>
      <w:bookmarkStart w:id="3" w:name="_Toc484674620"/>
      <w:r w:rsidRPr="00165B3E">
        <w:t>Aktivitet og organisation</w:t>
      </w:r>
      <w:bookmarkEnd w:id="3"/>
    </w:p>
    <w:p w14:paraId="7563EEF3" w14:textId="77777777" w:rsidR="00491788" w:rsidRDefault="00222D75" w:rsidP="00222D75">
      <w:pPr>
        <w:pStyle w:val="Default"/>
        <w:rPr>
          <w:sz w:val="22"/>
          <w:szCs w:val="22"/>
        </w:rPr>
      </w:pPr>
      <w:r>
        <w:rPr>
          <w:sz w:val="22"/>
          <w:szCs w:val="22"/>
        </w:rPr>
        <w:t>Black Box Theatre</w:t>
      </w:r>
      <w:r w:rsidRPr="003729D5">
        <w:rPr>
          <w:sz w:val="22"/>
          <w:szCs w:val="22"/>
        </w:rPr>
        <w:t xml:space="preserve"> har haft status som egnsteat</w:t>
      </w:r>
      <w:r>
        <w:rPr>
          <w:sz w:val="22"/>
          <w:szCs w:val="22"/>
        </w:rPr>
        <w:t xml:space="preserve">er siden </w:t>
      </w:r>
      <w:r w:rsidR="00491788">
        <w:rPr>
          <w:sz w:val="22"/>
          <w:szCs w:val="22"/>
        </w:rPr>
        <w:t xml:space="preserve">2010 og drives med driftstilskud fra Holstebro Kommune. Den nuværende egnsteateraftale udløber med udgangen af 2017. </w:t>
      </w:r>
    </w:p>
    <w:p w14:paraId="15D2C3B6" w14:textId="77777777" w:rsidR="00491788" w:rsidRDefault="00491788" w:rsidP="00222D75">
      <w:pPr>
        <w:pStyle w:val="Default"/>
        <w:rPr>
          <w:sz w:val="22"/>
          <w:szCs w:val="22"/>
        </w:rPr>
      </w:pPr>
    </w:p>
    <w:p w14:paraId="51AAD217" w14:textId="77777777" w:rsidR="00491788" w:rsidRDefault="00491788" w:rsidP="00222D75">
      <w:r>
        <w:t>Black Box Theatre er fysisk belig</w:t>
      </w:r>
      <w:r w:rsidR="00297FD9">
        <w:t xml:space="preserve">gende i Musikteatret-Holstebro </w:t>
      </w:r>
      <w:r>
        <w:t xml:space="preserve">og egnsteatrets aktiviteter </w:t>
      </w:r>
      <w:r w:rsidR="000006E2">
        <w:t>fungerer som en</w:t>
      </w:r>
      <w:r w:rsidR="000362A6">
        <w:t xml:space="preserve"> </w:t>
      </w:r>
      <w:r w:rsidR="00297FD9">
        <w:t xml:space="preserve">selvstændig, men fysisk </w:t>
      </w:r>
      <w:r>
        <w:t xml:space="preserve">integreret </w:t>
      </w:r>
      <w:r w:rsidR="000006E2">
        <w:t xml:space="preserve">del af </w:t>
      </w:r>
      <w:r w:rsidR="000362A6">
        <w:t>M</w:t>
      </w:r>
      <w:r w:rsidR="00297FD9">
        <w:t>usikteatret</w:t>
      </w:r>
      <w:r>
        <w:t>. Egnsteat</w:t>
      </w:r>
      <w:r w:rsidR="00297FD9">
        <w:t>r</w:t>
      </w:r>
      <w:r w:rsidR="000362A6">
        <w:t>e</w:t>
      </w:r>
      <w:r w:rsidR="00297FD9">
        <w:t>t</w:t>
      </w:r>
      <w:r w:rsidR="000362A6">
        <w:t xml:space="preserve"> </w:t>
      </w:r>
      <w:r>
        <w:t xml:space="preserve">har adgang til </w:t>
      </w:r>
      <w:r w:rsidR="00297FD9">
        <w:t>Musikteatrets</w:t>
      </w:r>
      <w:r w:rsidR="00583625">
        <w:t xml:space="preserve"> </w:t>
      </w:r>
      <w:r>
        <w:t xml:space="preserve">store teatersal </w:t>
      </w:r>
      <w:r w:rsidR="00583625">
        <w:t xml:space="preserve">Black Box Salen (1000m2) med 1200 pladser, teaterrummet Hall of </w:t>
      </w:r>
      <w:proofErr w:type="spellStart"/>
      <w:r w:rsidR="00583625">
        <w:t>Fame</w:t>
      </w:r>
      <w:proofErr w:type="spellEnd"/>
      <w:r w:rsidR="00583625">
        <w:t xml:space="preserve"> (500m2) samt det gamle teater Knudsen med plads til ca. 200 tilskuere. </w:t>
      </w:r>
      <w:r w:rsidR="000362A6">
        <w:t xml:space="preserve">Der er </w:t>
      </w:r>
      <w:r w:rsidR="00583625">
        <w:t>endvidere adgang til tre lejligheder i</w:t>
      </w:r>
      <w:r w:rsidR="00297FD9">
        <w:t xml:space="preserve"> anlægget</w:t>
      </w:r>
      <w:r w:rsidR="00583625">
        <w:t xml:space="preserve"> samt to lejligheder ude i byen</w:t>
      </w:r>
      <w:r w:rsidR="00297FD9">
        <w:t xml:space="preserve"> for teatrets udenlandske/udenbys kunstnere</w:t>
      </w:r>
      <w:r w:rsidR="00583625">
        <w:t xml:space="preserve">. Endelig </w:t>
      </w:r>
      <w:r w:rsidR="00827C6F">
        <w:t xml:space="preserve">kan </w:t>
      </w:r>
      <w:r w:rsidR="00583625">
        <w:t>egnsteat</w:t>
      </w:r>
      <w:r w:rsidR="00827C6F">
        <w:t>r</w:t>
      </w:r>
      <w:r w:rsidR="00583625">
        <w:t>e</w:t>
      </w:r>
      <w:r w:rsidR="00827C6F">
        <w:t xml:space="preserve">t benytte </w:t>
      </w:r>
      <w:r w:rsidR="00583625">
        <w:t>lager</w:t>
      </w:r>
      <w:r w:rsidR="003A3016">
        <w:t>lokaler</w:t>
      </w:r>
      <w:r w:rsidR="00583625">
        <w:t>, systue m</w:t>
      </w:r>
      <w:r w:rsidR="000362A6">
        <w:t>v</w:t>
      </w:r>
      <w:r w:rsidR="00583625">
        <w:t>.</w:t>
      </w:r>
      <w:r w:rsidR="00827C6F">
        <w:t xml:space="preserve"> i fornødent omfang.</w:t>
      </w:r>
      <w:r w:rsidR="00583625">
        <w:t xml:space="preserve"> </w:t>
      </w:r>
      <w:r w:rsidR="00E000F4">
        <w:t xml:space="preserve">Black Box Theatre </w:t>
      </w:r>
      <w:r w:rsidR="00827C6F">
        <w:t>har indgået lejekontrakt med Musikteatret-Holstebro</w:t>
      </w:r>
      <w:r w:rsidR="00E000F4">
        <w:t xml:space="preserve"> og betaler årligt ca. 1,4 mio. kr. i lokaleleje.  </w:t>
      </w:r>
      <w:r>
        <w:t xml:space="preserve"> </w:t>
      </w:r>
    </w:p>
    <w:p w14:paraId="214AA64E" w14:textId="77777777" w:rsidR="00491788" w:rsidRDefault="00491788" w:rsidP="00222D75"/>
    <w:p w14:paraId="47DAD208" w14:textId="77777777" w:rsidR="005422C4" w:rsidRDefault="005422C4" w:rsidP="00222D75">
      <w:r>
        <w:t>Black Box Theatre</w:t>
      </w:r>
      <w:r w:rsidR="00583625">
        <w:t xml:space="preserve"> </w:t>
      </w:r>
      <w:r w:rsidR="00222D75" w:rsidRPr="003729D5">
        <w:t>er organiseret som selvejende institution</w:t>
      </w:r>
      <w:r w:rsidR="000006E2">
        <w:t>. I</w:t>
      </w:r>
      <w:r w:rsidR="00222D75" w:rsidRPr="003729D5">
        <w:t>følge vedtægter</w:t>
      </w:r>
      <w:r w:rsidR="00222D75">
        <w:t>ne</w:t>
      </w:r>
      <w:r w:rsidR="00222D75" w:rsidRPr="003729D5">
        <w:t xml:space="preserve"> </w:t>
      </w:r>
      <w:r w:rsidR="000006E2">
        <w:t xml:space="preserve">har </w:t>
      </w:r>
      <w:r>
        <w:t>institutionen</w:t>
      </w:r>
      <w:r w:rsidR="000006E2">
        <w:t xml:space="preserve"> til </w:t>
      </w:r>
      <w:r w:rsidR="00222D75" w:rsidRPr="003729D5">
        <w:t xml:space="preserve">formål </w:t>
      </w:r>
    </w:p>
    <w:p w14:paraId="30B852A0" w14:textId="77777777" w:rsidR="005A6B47" w:rsidRDefault="000006E2" w:rsidP="00222D75">
      <w:r>
        <w:t>at medvirke til for</w:t>
      </w:r>
      <w:r w:rsidR="005422C4">
        <w:t xml:space="preserve">øgelse af den kulturelle profil i Holstebro Kommune med kvalitet og samarbejde. </w:t>
      </w:r>
      <w:r w:rsidR="00222D75" w:rsidRPr="003729D5">
        <w:t xml:space="preserve">Ifølge den gældende egnsteateraftale skal </w:t>
      </w:r>
      <w:r w:rsidR="005422C4">
        <w:t xml:space="preserve">Black Box Theatre skabe </w:t>
      </w:r>
      <w:r w:rsidR="005A6B47">
        <w:t xml:space="preserve">2 årlige </w:t>
      </w:r>
      <w:r w:rsidR="005422C4">
        <w:t xml:space="preserve">tværkunstneriske produktioner </w:t>
      </w:r>
      <w:r w:rsidR="005A6B47">
        <w:t xml:space="preserve">indenfor </w:t>
      </w:r>
      <w:r w:rsidR="005422C4">
        <w:t>musikdramat</w:t>
      </w:r>
      <w:r w:rsidR="005A6B47">
        <w:t>ik</w:t>
      </w:r>
      <w:r w:rsidR="005422C4">
        <w:t xml:space="preserve"> og moderne dans. Egnsteatrets virksomhed skal primær</w:t>
      </w:r>
      <w:r>
        <w:t>t</w:t>
      </w:r>
      <w:r w:rsidR="005422C4">
        <w:t xml:space="preserve"> foregå i </w:t>
      </w:r>
      <w:r w:rsidR="00D369C0">
        <w:t>Holstebro K</w:t>
      </w:r>
      <w:r w:rsidR="005422C4">
        <w:t xml:space="preserve">ommune, men </w:t>
      </w:r>
      <w:r w:rsidR="005A6B47">
        <w:t xml:space="preserve">der gives også mulighed for </w:t>
      </w:r>
      <w:r w:rsidR="005422C4">
        <w:t xml:space="preserve">turnevirksomhed. </w:t>
      </w:r>
    </w:p>
    <w:p w14:paraId="2A46962C" w14:textId="77777777" w:rsidR="005A6B47" w:rsidRDefault="005A6B47" w:rsidP="00222D75"/>
    <w:p w14:paraId="70FBEBD9" w14:textId="77777777" w:rsidR="001C08A3" w:rsidRPr="005A6B47" w:rsidRDefault="00D369C0" w:rsidP="00F40EB4">
      <w:pPr>
        <w:rPr>
          <w:i/>
          <w:color w:val="FF0000"/>
        </w:rPr>
      </w:pPr>
      <w:r>
        <w:t xml:space="preserve">Den overordnede leder af </w:t>
      </w:r>
      <w:r w:rsidR="005A6B47" w:rsidRPr="00D369C0">
        <w:t xml:space="preserve">Black Box Theatre er </w:t>
      </w:r>
      <w:r w:rsidRPr="00D369C0">
        <w:t xml:space="preserve">direktør Anders Jørgensen </w:t>
      </w:r>
      <w:r>
        <w:t xml:space="preserve">(ligeledes direktør for </w:t>
      </w:r>
      <w:r w:rsidR="005A6B47" w:rsidRPr="00D369C0">
        <w:t>Musikteatret</w:t>
      </w:r>
      <w:r>
        <w:t>)</w:t>
      </w:r>
      <w:r w:rsidR="005A6B47" w:rsidRPr="00D369C0">
        <w:t xml:space="preserve">, </w:t>
      </w:r>
      <w:r>
        <w:t>og den kunstne</w:t>
      </w:r>
      <w:r w:rsidRPr="00D76F2E">
        <w:t xml:space="preserve">riske leder er </w:t>
      </w:r>
      <w:r w:rsidR="005A6B47" w:rsidRPr="00D76F2E">
        <w:t>kapelmester Joakim Pedersen</w:t>
      </w:r>
      <w:r w:rsidRPr="00D76F2E">
        <w:t>.</w:t>
      </w:r>
      <w:r w:rsidR="00753E33" w:rsidRPr="00D76F2E">
        <w:t xml:space="preserve"> De er begge ansat i Musikteatret og </w:t>
      </w:r>
      <w:r w:rsidR="00D76F2E" w:rsidRPr="00D76F2E">
        <w:t xml:space="preserve">lønnes </w:t>
      </w:r>
      <w:r w:rsidR="00753E33" w:rsidRPr="00D76F2E">
        <w:t xml:space="preserve">via </w:t>
      </w:r>
      <w:r w:rsidR="00D76F2E" w:rsidRPr="00D76F2E">
        <w:t>drifts</w:t>
      </w:r>
      <w:r w:rsidR="00753E33" w:rsidRPr="00D76F2E">
        <w:t>aftalen.</w:t>
      </w:r>
      <w:r w:rsidR="005A6B47" w:rsidRPr="00D76F2E">
        <w:t xml:space="preserve"> </w:t>
      </w:r>
      <w:r w:rsidRPr="00D76F2E">
        <w:t>K</w:t>
      </w:r>
      <w:r w:rsidR="005A6B47" w:rsidRPr="00D76F2E">
        <w:t xml:space="preserve">oreograf Marie Brolin </w:t>
      </w:r>
      <w:r w:rsidRPr="00D76F2E">
        <w:t>er</w:t>
      </w:r>
      <w:r w:rsidR="00341572" w:rsidRPr="00D76F2E">
        <w:t xml:space="preserve"> kunstnerisk</w:t>
      </w:r>
      <w:r w:rsidRPr="00D76F2E">
        <w:t xml:space="preserve"> </w:t>
      </w:r>
      <w:r w:rsidR="000E32B5" w:rsidRPr="00D76F2E">
        <w:t>ansvarlig</w:t>
      </w:r>
      <w:r w:rsidR="005A6B47" w:rsidRPr="00D76F2E">
        <w:t xml:space="preserve"> for </w:t>
      </w:r>
      <w:r w:rsidR="00341572" w:rsidRPr="00D76F2E">
        <w:t>teatrets moderne dans, Black Box Dance Company</w:t>
      </w:r>
      <w:r w:rsidR="00753E33" w:rsidRPr="00D76F2E">
        <w:t>, og</w:t>
      </w:r>
      <w:r w:rsidR="00753E33">
        <w:t xml:space="preserve"> den eneste, der er ansat direkte i egnsteatret. Hun </w:t>
      </w:r>
      <w:r w:rsidR="001075E9" w:rsidRPr="001075E9">
        <w:t xml:space="preserve">har valgt at bosætte sig </w:t>
      </w:r>
      <w:r w:rsidR="001075E9">
        <w:t>i</w:t>
      </w:r>
      <w:r w:rsidR="001075E9" w:rsidRPr="001075E9">
        <w:t xml:space="preserve"> Holstebro </w:t>
      </w:r>
      <w:r w:rsidR="001075E9">
        <w:t>i</w:t>
      </w:r>
      <w:r w:rsidR="001075E9" w:rsidRPr="001075E9">
        <w:t xml:space="preserve"> de relativt lange produktionsperioder</w:t>
      </w:r>
      <w:r w:rsidR="001075E9">
        <w:t xml:space="preserve"> (ca. 2/3 af året)</w:t>
      </w:r>
      <w:r w:rsidR="00F40EB4">
        <w:t>.</w:t>
      </w:r>
      <w:r w:rsidR="001075E9">
        <w:t xml:space="preserve"> </w:t>
      </w:r>
      <w:r w:rsidR="001075E9" w:rsidRPr="00D369C0">
        <w:t>Joakim Pedersen</w:t>
      </w:r>
      <w:r w:rsidR="001075E9">
        <w:t xml:space="preserve"> derimod bor fast i København</w:t>
      </w:r>
      <w:r w:rsidR="005D640F">
        <w:t xml:space="preserve"> og er ikke ret synlig i Holstebro. Til gengæld er han </w:t>
      </w:r>
      <w:r w:rsidR="00B24992">
        <w:t xml:space="preserve">aktiv </w:t>
      </w:r>
      <w:r w:rsidR="005D640F">
        <w:t xml:space="preserve">i de </w:t>
      </w:r>
      <w:r w:rsidR="00B24992">
        <w:t xml:space="preserve">landsdækkende </w:t>
      </w:r>
      <w:r w:rsidR="000725B0">
        <w:t xml:space="preserve">kunstneriske </w:t>
      </w:r>
      <w:r w:rsidR="005D640F">
        <w:t xml:space="preserve">netværk, som han </w:t>
      </w:r>
      <w:r w:rsidR="00B24992">
        <w:t>løbende trækker på til fordel for egnsteatret</w:t>
      </w:r>
      <w:r w:rsidR="001075E9">
        <w:t>.</w:t>
      </w:r>
      <w:r w:rsidR="00F40EB4">
        <w:t xml:space="preserve"> </w:t>
      </w:r>
      <w:r w:rsidR="00D76F2E">
        <w:t xml:space="preserve">Siden 2014 </w:t>
      </w:r>
      <w:r w:rsidR="000E32B5">
        <w:t xml:space="preserve">har teatret </w:t>
      </w:r>
      <w:r w:rsidR="00D76F2E">
        <w:t xml:space="preserve">samarbejdet med </w:t>
      </w:r>
      <w:r w:rsidR="000E32B5">
        <w:t>kompagniet Teater O, som producerer og viser</w:t>
      </w:r>
      <w:r w:rsidR="000E32B5" w:rsidRPr="00D34D53">
        <w:t xml:space="preserve"> børneteater</w:t>
      </w:r>
      <w:r w:rsidR="000E32B5">
        <w:t>.</w:t>
      </w:r>
      <w:r>
        <w:br/>
      </w:r>
    </w:p>
    <w:p w14:paraId="0B93EA2F" w14:textId="77777777" w:rsidR="000101AD" w:rsidRDefault="006438B4" w:rsidP="007364C2">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Herudover har </w:t>
      </w:r>
      <w:r w:rsidR="00E000F4" w:rsidRPr="001C08A3">
        <w:rPr>
          <w:rFonts w:asciiTheme="minorHAnsi" w:hAnsiTheme="minorHAnsi" w:cstheme="minorBidi"/>
          <w:color w:val="auto"/>
          <w:sz w:val="22"/>
          <w:szCs w:val="22"/>
        </w:rPr>
        <w:t>Black Box Theatre intet fastansat personale</w:t>
      </w:r>
      <w:r>
        <w:rPr>
          <w:rFonts w:asciiTheme="minorHAnsi" w:hAnsiTheme="minorHAnsi" w:cstheme="minorBidi"/>
          <w:color w:val="auto"/>
          <w:sz w:val="22"/>
          <w:szCs w:val="22"/>
        </w:rPr>
        <w:t>. Kunstnerisk pe</w:t>
      </w:r>
      <w:r w:rsidR="00B24992">
        <w:rPr>
          <w:rFonts w:asciiTheme="minorHAnsi" w:hAnsiTheme="minorHAnsi" w:cstheme="minorBidi"/>
          <w:color w:val="auto"/>
          <w:sz w:val="22"/>
          <w:szCs w:val="22"/>
        </w:rPr>
        <w:t>rsonale ansættes pr. produktion, o</w:t>
      </w:r>
      <w:r>
        <w:rPr>
          <w:rFonts w:asciiTheme="minorHAnsi" w:hAnsiTheme="minorHAnsi" w:cstheme="minorBidi"/>
          <w:color w:val="auto"/>
          <w:sz w:val="22"/>
          <w:szCs w:val="22"/>
        </w:rPr>
        <w:t>g</w:t>
      </w:r>
      <w:r w:rsidR="00E000F4" w:rsidRPr="001C08A3">
        <w:rPr>
          <w:rFonts w:asciiTheme="minorHAnsi" w:hAnsiTheme="minorHAnsi" w:cstheme="minorBidi"/>
          <w:color w:val="auto"/>
          <w:sz w:val="22"/>
          <w:szCs w:val="22"/>
        </w:rPr>
        <w:t xml:space="preserve"> </w:t>
      </w:r>
      <w:r w:rsidR="003A3016">
        <w:rPr>
          <w:rFonts w:asciiTheme="minorHAnsi" w:hAnsiTheme="minorHAnsi" w:cstheme="minorBidi"/>
          <w:color w:val="auto"/>
          <w:sz w:val="22"/>
          <w:szCs w:val="22"/>
        </w:rPr>
        <w:t xml:space="preserve">med udgangspunkt i en </w:t>
      </w:r>
      <w:r w:rsidR="007010D6">
        <w:rPr>
          <w:rFonts w:asciiTheme="minorHAnsi" w:hAnsiTheme="minorHAnsi" w:cstheme="minorBidi"/>
          <w:color w:val="auto"/>
          <w:sz w:val="22"/>
          <w:szCs w:val="22"/>
        </w:rPr>
        <w:t>administration</w:t>
      </w:r>
      <w:r w:rsidR="00E000F4" w:rsidRPr="001C08A3">
        <w:rPr>
          <w:rFonts w:asciiTheme="minorHAnsi" w:hAnsiTheme="minorHAnsi" w:cstheme="minorBidi"/>
          <w:color w:val="auto"/>
          <w:sz w:val="22"/>
          <w:szCs w:val="22"/>
        </w:rPr>
        <w:t xml:space="preserve">saftale </w:t>
      </w:r>
      <w:r w:rsidR="003A3016">
        <w:rPr>
          <w:rFonts w:asciiTheme="minorHAnsi" w:hAnsiTheme="minorHAnsi" w:cstheme="minorBidi"/>
          <w:color w:val="auto"/>
          <w:sz w:val="22"/>
          <w:szCs w:val="22"/>
        </w:rPr>
        <w:t xml:space="preserve">indgået mellem </w:t>
      </w:r>
      <w:r w:rsidR="000B78F6">
        <w:rPr>
          <w:rFonts w:asciiTheme="minorHAnsi" w:hAnsiTheme="minorHAnsi" w:cstheme="minorBidi"/>
          <w:color w:val="auto"/>
          <w:sz w:val="22"/>
          <w:szCs w:val="22"/>
        </w:rPr>
        <w:t xml:space="preserve">teatret </w:t>
      </w:r>
      <w:r w:rsidR="003A3016">
        <w:rPr>
          <w:rFonts w:asciiTheme="minorHAnsi" w:hAnsiTheme="minorHAnsi" w:cstheme="minorBidi"/>
          <w:color w:val="auto"/>
          <w:sz w:val="22"/>
          <w:szCs w:val="22"/>
        </w:rPr>
        <w:t xml:space="preserve">og </w:t>
      </w:r>
      <w:r w:rsidR="00E000F4" w:rsidRPr="001C08A3">
        <w:rPr>
          <w:rFonts w:asciiTheme="minorHAnsi" w:hAnsiTheme="minorHAnsi" w:cstheme="minorBidi"/>
          <w:color w:val="auto"/>
          <w:sz w:val="22"/>
          <w:szCs w:val="22"/>
        </w:rPr>
        <w:t>M</w:t>
      </w:r>
      <w:r w:rsidR="000B78F6">
        <w:rPr>
          <w:rFonts w:asciiTheme="minorHAnsi" w:hAnsiTheme="minorHAnsi" w:cstheme="minorBidi"/>
          <w:color w:val="auto"/>
          <w:sz w:val="22"/>
          <w:szCs w:val="22"/>
        </w:rPr>
        <w:t>usikteatret-Holstebro</w:t>
      </w:r>
      <w:r w:rsidR="00E000F4" w:rsidRPr="001C08A3">
        <w:rPr>
          <w:rFonts w:asciiTheme="minorHAnsi" w:hAnsiTheme="minorHAnsi" w:cstheme="minorBidi"/>
          <w:color w:val="auto"/>
          <w:sz w:val="22"/>
          <w:szCs w:val="22"/>
        </w:rPr>
        <w:t xml:space="preserve"> </w:t>
      </w:r>
      <w:r w:rsidR="000B78F6">
        <w:rPr>
          <w:rFonts w:asciiTheme="minorHAnsi" w:hAnsiTheme="minorHAnsi" w:cstheme="minorBidi"/>
          <w:color w:val="auto"/>
          <w:sz w:val="22"/>
          <w:szCs w:val="22"/>
        </w:rPr>
        <w:t xml:space="preserve">køber </w:t>
      </w:r>
      <w:r w:rsidR="000B78F6" w:rsidRPr="001C08A3">
        <w:rPr>
          <w:rFonts w:asciiTheme="minorHAnsi" w:hAnsiTheme="minorHAnsi" w:cstheme="minorBidi"/>
          <w:color w:val="auto"/>
          <w:sz w:val="22"/>
          <w:szCs w:val="22"/>
        </w:rPr>
        <w:t xml:space="preserve">Black Box Theatre </w:t>
      </w:r>
      <w:r w:rsidR="000B78F6">
        <w:rPr>
          <w:rFonts w:asciiTheme="minorHAnsi" w:hAnsiTheme="minorHAnsi" w:cstheme="minorBidi"/>
          <w:color w:val="auto"/>
          <w:sz w:val="22"/>
          <w:szCs w:val="22"/>
        </w:rPr>
        <w:t xml:space="preserve">de administrative og øvrige </w:t>
      </w:r>
      <w:r w:rsidR="000B78F6" w:rsidRPr="001C08A3">
        <w:rPr>
          <w:rFonts w:asciiTheme="minorHAnsi" w:hAnsiTheme="minorHAnsi" w:cstheme="minorBidi"/>
          <w:color w:val="auto"/>
          <w:sz w:val="22"/>
          <w:szCs w:val="22"/>
        </w:rPr>
        <w:t>personalemæssige ydelser</w:t>
      </w:r>
      <w:r w:rsidR="000B78F6">
        <w:rPr>
          <w:rFonts w:asciiTheme="minorHAnsi" w:hAnsiTheme="minorHAnsi" w:cstheme="minorBidi"/>
          <w:color w:val="auto"/>
          <w:sz w:val="22"/>
          <w:szCs w:val="22"/>
        </w:rPr>
        <w:t xml:space="preserve"> af Musikte</w:t>
      </w:r>
      <w:r w:rsidR="000B78F6" w:rsidRPr="0062430A">
        <w:rPr>
          <w:rFonts w:asciiTheme="minorHAnsi" w:hAnsiTheme="minorHAnsi" w:cstheme="minorBidi"/>
          <w:color w:val="auto"/>
          <w:sz w:val="22"/>
          <w:szCs w:val="22"/>
        </w:rPr>
        <w:t xml:space="preserve">atret for beløb svarende til </w:t>
      </w:r>
      <w:r w:rsidR="00E000F4" w:rsidRPr="0062430A">
        <w:rPr>
          <w:rFonts w:asciiTheme="minorHAnsi" w:hAnsiTheme="minorHAnsi" w:cstheme="minorBidi"/>
          <w:color w:val="auto"/>
          <w:sz w:val="22"/>
          <w:szCs w:val="22"/>
        </w:rPr>
        <w:t>ca. 2,8</w:t>
      </w:r>
      <w:r w:rsidR="00B30CC8">
        <w:rPr>
          <w:rFonts w:asciiTheme="minorHAnsi" w:hAnsiTheme="minorHAnsi" w:cstheme="minorBidi"/>
          <w:color w:val="auto"/>
          <w:sz w:val="22"/>
          <w:szCs w:val="22"/>
        </w:rPr>
        <w:t>5</w:t>
      </w:r>
      <w:r w:rsidR="00E000F4" w:rsidRPr="0062430A">
        <w:rPr>
          <w:rFonts w:asciiTheme="minorHAnsi" w:hAnsiTheme="minorHAnsi" w:cstheme="minorBidi"/>
          <w:color w:val="auto"/>
          <w:sz w:val="22"/>
          <w:szCs w:val="22"/>
        </w:rPr>
        <w:t xml:space="preserve"> mio. kr.</w:t>
      </w:r>
      <w:r w:rsidR="000B78F6" w:rsidRPr="0062430A">
        <w:rPr>
          <w:rFonts w:asciiTheme="minorHAnsi" w:hAnsiTheme="minorHAnsi" w:cstheme="minorBidi"/>
          <w:color w:val="auto"/>
          <w:sz w:val="22"/>
          <w:szCs w:val="22"/>
        </w:rPr>
        <w:t xml:space="preserve"> årligt.</w:t>
      </w:r>
      <w:r w:rsidR="00E000F4" w:rsidRPr="0062430A">
        <w:rPr>
          <w:rFonts w:asciiTheme="minorHAnsi" w:hAnsiTheme="minorHAnsi" w:cstheme="minorBidi"/>
          <w:color w:val="auto"/>
          <w:sz w:val="22"/>
          <w:szCs w:val="22"/>
        </w:rPr>
        <w:t xml:space="preserve"> </w:t>
      </w:r>
      <w:r w:rsidR="0062430A" w:rsidRPr="0062430A">
        <w:rPr>
          <w:rFonts w:asciiTheme="minorHAnsi" w:hAnsiTheme="minorHAnsi" w:cstheme="minorBidi"/>
          <w:color w:val="auto"/>
          <w:sz w:val="22"/>
          <w:szCs w:val="22"/>
        </w:rPr>
        <w:t>I egnsteatrets vedtægter konkretiseres aftalen yderligere</w:t>
      </w:r>
      <w:r w:rsidR="0062430A">
        <w:rPr>
          <w:rFonts w:asciiTheme="minorHAnsi" w:hAnsiTheme="minorHAnsi" w:cstheme="minorBidi"/>
          <w:color w:val="auto"/>
          <w:sz w:val="22"/>
          <w:szCs w:val="22"/>
        </w:rPr>
        <w:t xml:space="preserve">, idet det fremgår at Musikteatret skal </w:t>
      </w:r>
      <w:r w:rsidR="0062430A" w:rsidRPr="0062430A">
        <w:rPr>
          <w:rFonts w:asciiTheme="minorHAnsi" w:hAnsiTheme="minorHAnsi" w:cstheme="minorBidi"/>
          <w:color w:val="auto"/>
          <w:sz w:val="22"/>
          <w:szCs w:val="22"/>
        </w:rPr>
        <w:t xml:space="preserve">stille </w:t>
      </w:r>
      <w:r w:rsidR="0062430A">
        <w:rPr>
          <w:rFonts w:asciiTheme="minorHAnsi" w:hAnsiTheme="minorHAnsi" w:cstheme="minorBidi"/>
          <w:color w:val="auto"/>
          <w:sz w:val="22"/>
          <w:szCs w:val="22"/>
        </w:rPr>
        <w:t xml:space="preserve">fornødne </w:t>
      </w:r>
      <w:r w:rsidR="0062430A" w:rsidRPr="0062430A">
        <w:rPr>
          <w:rFonts w:asciiTheme="minorHAnsi" w:hAnsiTheme="minorHAnsi" w:cstheme="minorBidi"/>
          <w:color w:val="auto"/>
          <w:sz w:val="22"/>
          <w:szCs w:val="22"/>
        </w:rPr>
        <w:t>administrative systemer og se</w:t>
      </w:r>
      <w:r w:rsidR="0062430A">
        <w:rPr>
          <w:rFonts w:asciiTheme="minorHAnsi" w:hAnsiTheme="minorHAnsi" w:cstheme="minorBidi"/>
          <w:color w:val="auto"/>
          <w:sz w:val="22"/>
          <w:szCs w:val="22"/>
        </w:rPr>
        <w:t>kretariatsfunktion til rådighed,</w:t>
      </w:r>
      <w:r w:rsidR="0062430A" w:rsidRPr="0062430A">
        <w:rPr>
          <w:rFonts w:asciiTheme="minorHAnsi" w:hAnsiTheme="minorHAnsi" w:cstheme="minorBidi"/>
          <w:color w:val="auto"/>
          <w:sz w:val="22"/>
          <w:szCs w:val="22"/>
        </w:rPr>
        <w:t xml:space="preserve"> forestå bogføring og al kontakt til og fra B</w:t>
      </w:r>
      <w:r w:rsidR="0062430A">
        <w:rPr>
          <w:rFonts w:asciiTheme="minorHAnsi" w:hAnsiTheme="minorHAnsi" w:cstheme="minorBidi"/>
          <w:color w:val="auto"/>
          <w:sz w:val="22"/>
          <w:szCs w:val="22"/>
        </w:rPr>
        <w:t>lack Box Theatres</w:t>
      </w:r>
      <w:r w:rsidR="0062430A" w:rsidRPr="0062430A">
        <w:rPr>
          <w:rFonts w:asciiTheme="minorHAnsi" w:hAnsiTheme="minorHAnsi" w:cstheme="minorBidi"/>
          <w:color w:val="auto"/>
          <w:sz w:val="22"/>
          <w:szCs w:val="22"/>
        </w:rPr>
        <w:t xml:space="preserve"> eksterne revision</w:t>
      </w:r>
      <w:r w:rsidR="0062430A">
        <w:rPr>
          <w:rFonts w:asciiTheme="minorHAnsi" w:hAnsiTheme="minorHAnsi" w:cstheme="minorBidi"/>
          <w:color w:val="auto"/>
          <w:sz w:val="22"/>
          <w:szCs w:val="22"/>
        </w:rPr>
        <w:t>.</w:t>
      </w:r>
      <w:r w:rsidR="007364C2">
        <w:rPr>
          <w:rFonts w:asciiTheme="minorHAnsi" w:hAnsiTheme="minorHAnsi" w:cstheme="minorBidi"/>
          <w:color w:val="auto"/>
          <w:sz w:val="22"/>
          <w:szCs w:val="22"/>
        </w:rPr>
        <w:t xml:space="preserve"> </w:t>
      </w:r>
    </w:p>
    <w:p w14:paraId="448BB469" w14:textId="77777777" w:rsidR="000101AD" w:rsidRDefault="000101AD" w:rsidP="007364C2">
      <w:pPr>
        <w:pStyle w:val="Default"/>
        <w:rPr>
          <w:rFonts w:asciiTheme="minorHAnsi" w:hAnsiTheme="minorHAnsi" w:cstheme="minorBidi"/>
          <w:color w:val="auto"/>
          <w:sz w:val="22"/>
          <w:szCs w:val="22"/>
        </w:rPr>
      </w:pPr>
    </w:p>
    <w:p w14:paraId="3E9507D8" w14:textId="77777777" w:rsidR="001C08A3" w:rsidRDefault="000101AD" w:rsidP="00222D75">
      <w:pPr>
        <w:pStyle w:val="Default"/>
        <w:rPr>
          <w:rFonts w:asciiTheme="minorHAnsi" w:hAnsiTheme="minorHAnsi" w:cstheme="minorBidi"/>
          <w:color w:val="auto"/>
          <w:sz w:val="22"/>
          <w:szCs w:val="22"/>
        </w:rPr>
      </w:pPr>
      <w:r>
        <w:rPr>
          <w:rFonts w:asciiTheme="minorHAnsi" w:hAnsiTheme="minorHAnsi" w:cstheme="minorBidi"/>
          <w:color w:val="auto"/>
          <w:sz w:val="22"/>
          <w:szCs w:val="22"/>
        </w:rPr>
        <w:t>Herudover udlejer Musikteatret tekniske personale og udstyr til egnsteatret, afregnet efter faktisk forbrug</w:t>
      </w:r>
      <w:r w:rsidR="00463DE1">
        <w:rPr>
          <w:rFonts w:asciiTheme="minorHAnsi" w:hAnsiTheme="minorHAnsi" w:cstheme="minorBidi"/>
          <w:color w:val="auto"/>
          <w:sz w:val="22"/>
          <w:szCs w:val="22"/>
        </w:rPr>
        <w:t>,</w:t>
      </w:r>
      <w:r w:rsidR="00D76F2E">
        <w:rPr>
          <w:rFonts w:asciiTheme="minorHAnsi" w:hAnsiTheme="minorHAnsi" w:cstheme="minorBidi"/>
          <w:color w:val="auto"/>
          <w:sz w:val="22"/>
          <w:szCs w:val="22"/>
        </w:rPr>
        <w:t xml:space="preserve"> i størrelsesordenen ca. 1 mio. kr. til tekniske personale og 400.000 til udstyr</w:t>
      </w:r>
      <w:r>
        <w:rPr>
          <w:rFonts w:asciiTheme="minorHAnsi" w:hAnsiTheme="minorHAnsi" w:cstheme="minorBidi"/>
          <w:color w:val="auto"/>
          <w:sz w:val="22"/>
          <w:szCs w:val="22"/>
        </w:rPr>
        <w:t xml:space="preserve">. </w:t>
      </w:r>
      <w:r w:rsidR="00D76F2E">
        <w:rPr>
          <w:rFonts w:asciiTheme="minorHAnsi" w:hAnsiTheme="minorHAnsi" w:cstheme="minorBidi"/>
          <w:color w:val="auto"/>
          <w:sz w:val="22"/>
          <w:szCs w:val="22"/>
        </w:rPr>
        <w:t>T</w:t>
      </w:r>
      <w:r w:rsidR="007364C2">
        <w:rPr>
          <w:rFonts w:asciiTheme="minorHAnsi" w:hAnsiTheme="minorHAnsi" w:cstheme="minorBidi"/>
          <w:color w:val="auto"/>
          <w:sz w:val="22"/>
          <w:szCs w:val="22"/>
        </w:rPr>
        <w:t>eatrets øvrige o</w:t>
      </w:r>
      <w:r w:rsidR="00E000F4" w:rsidRPr="0062430A">
        <w:rPr>
          <w:rFonts w:asciiTheme="minorHAnsi" w:hAnsiTheme="minorHAnsi" w:cstheme="minorBidi"/>
          <w:color w:val="auto"/>
          <w:sz w:val="22"/>
          <w:szCs w:val="22"/>
        </w:rPr>
        <w:t>mkostninger til</w:t>
      </w:r>
      <w:r w:rsidR="008928E3" w:rsidRPr="0062430A">
        <w:rPr>
          <w:rFonts w:asciiTheme="minorHAnsi" w:hAnsiTheme="minorHAnsi" w:cstheme="minorBidi"/>
          <w:color w:val="auto"/>
          <w:sz w:val="22"/>
          <w:szCs w:val="22"/>
        </w:rPr>
        <w:t xml:space="preserve"> k</w:t>
      </w:r>
      <w:r w:rsidR="008928E3">
        <w:rPr>
          <w:rFonts w:asciiTheme="minorHAnsi" w:hAnsiTheme="minorHAnsi" w:cstheme="minorBidi"/>
          <w:color w:val="auto"/>
          <w:sz w:val="22"/>
          <w:szCs w:val="22"/>
        </w:rPr>
        <w:t xml:space="preserve">unstnere og </w:t>
      </w:r>
      <w:r w:rsidR="007364C2">
        <w:rPr>
          <w:rFonts w:asciiTheme="minorHAnsi" w:hAnsiTheme="minorHAnsi" w:cstheme="minorBidi"/>
          <w:color w:val="auto"/>
          <w:sz w:val="22"/>
          <w:szCs w:val="22"/>
        </w:rPr>
        <w:t xml:space="preserve">kunstneriske </w:t>
      </w:r>
      <w:r w:rsidR="00E000F4" w:rsidRPr="001C08A3">
        <w:rPr>
          <w:rFonts w:asciiTheme="minorHAnsi" w:hAnsiTheme="minorHAnsi" w:cstheme="minorBidi"/>
          <w:color w:val="auto"/>
          <w:sz w:val="22"/>
          <w:szCs w:val="22"/>
        </w:rPr>
        <w:t>produktion</w:t>
      </w:r>
      <w:r w:rsidR="007364C2">
        <w:rPr>
          <w:rFonts w:asciiTheme="minorHAnsi" w:hAnsiTheme="minorHAnsi" w:cstheme="minorBidi"/>
          <w:color w:val="auto"/>
          <w:sz w:val="22"/>
          <w:szCs w:val="22"/>
        </w:rPr>
        <w:t>er</w:t>
      </w:r>
      <w:r w:rsidR="00E000F4" w:rsidRPr="001C08A3">
        <w:rPr>
          <w:rFonts w:asciiTheme="minorHAnsi" w:hAnsiTheme="minorHAnsi" w:cstheme="minorBidi"/>
          <w:color w:val="auto"/>
          <w:sz w:val="22"/>
          <w:szCs w:val="22"/>
        </w:rPr>
        <w:t xml:space="preserve"> </w:t>
      </w:r>
      <w:r w:rsidR="008928E3">
        <w:rPr>
          <w:rFonts w:asciiTheme="minorHAnsi" w:hAnsiTheme="minorHAnsi" w:cstheme="minorBidi"/>
          <w:color w:val="auto"/>
          <w:sz w:val="22"/>
          <w:szCs w:val="22"/>
        </w:rPr>
        <w:t xml:space="preserve">afholdes </w:t>
      </w:r>
      <w:r w:rsidR="00D76F2E">
        <w:rPr>
          <w:rFonts w:asciiTheme="minorHAnsi" w:hAnsiTheme="minorHAnsi" w:cstheme="minorBidi"/>
          <w:color w:val="auto"/>
          <w:sz w:val="22"/>
          <w:szCs w:val="22"/>
        </w:rPr>
        <w:t xml:space="preserve">endvidere </w:t>
      </w:r>
      <w:r w:rsidR="008928E3">
        <w:rPr>
          <w:rFonts w:asciiTheme="minorHAnsi" w:hAnsiTheme="minorHAnsi" w:cstheme="minorBidi"/>
          <w:color w:val="auto"/>
          <w:sz w:val="22"/>
          <w:szCs w:val="22"/>
        </w:rPr>
        <w:t>ud</w:t>
      </w:r>
      <w:r>
        <w:rPr>
          <w:rFonts w:asciiTheme="minorHAnsi" w:hAnsiTheme="minorHAnsi" w:cstheme="minorBidi"/>
          <w:color w:val="auto"/>
          <w:sz w:val="22"/>
          <w:szCs w:val="22"/>
        </w:rPr>
        <w:t xml:space="preserve"> </w:t>
      </w:r>
      <w:r w:rsidR="008928E3">
        <w:rPr>
          <w:rFonts w:asciiTheme="minorHAnsi" w:hAnsiTheme="minorHAnsi" w:cstheme="minorBidi"/>
          <w:color w:val="auto"/>
          <w:sz w:val="22"/>
          <w:szCs w:val="22"/>
        </w:rPr>
        <w:t>over</w:t>
      </w:r>
      <w:r>
        <w:rPr>
          <w:rFonts w:asciiTheme="minorHAnsi" w:hAnsiTheme="minorHAnsi" w:cstheme="minorBidi"/>
          <w:color w:val="auto"/>
          <w:sz w:val="22"/>
          <w:szCs w:val="22"/>
        </w:rPr>
        <w:t xml:space="preserve"> driftsaftalen</w:t>
      </w:r>
      <w:r w:rsidR="008928E3">
        <w:rPr>
          <w:rFonts w:asciiTheme="minorHAnsi" w:hAnsiTheme="minorHAnsi" w:cstheme="minorBidi"/>
          <w:color w:val="auto"/>
          <w:sz w:val="22"/>
          <w:szCs w:val="22"/>
        </w:rPr>
        <w:t xml:space="preserve">. </w:t>
      </w:r>
      <w:r w:rsidR="0062430A">
        <w:rPr>
          <w:rFonts w:asciiTheme="minorHAnsi" w:hAnsiTheme="minorHAnsi" w:cstheme="minorBidi"/>
          <w:color w:val="auto"/>
          <w:sz w:val="22"/>
          <w:szCs w:val="22"/>
        </w:rPr>
        <w:br/>
      </w:r>
    </w:p>
    <w:p w14:paraId="765AD24A" w14:textId="77777777" w:rsidR="00BD4D78" w:rsidRPr="00BD4D78" w:rsidRDefault="000101AD" w:rsidP="00222D75">
      <w:pPr>
        <w:pStyle w:val="Default"/>
        <w:rPr>
          <w:color w:val="FF0000"/>
          <w:sz w:val="22"/>
          <w:szCs w:val="22"/>
        </w:rPr>
      </w:pPr>
      <w:r>
        <w:rPr>
          <w:sz w:val="22"/>
          <w:szCs w:val="22"/>
        </w:rPr>
        <w:lastRenderedPageBreak/>
        <w:t xml:space="preserve">Egnsteatrets bestyrelse består af fem medlemmer, jf. </w:t>
      </w:r>
      <w:r w:rsidR="00BD4D78">
        <w:rPr>
          <w:sz w:val="22"/>
          <w:szCs w:val="22"/>
        </w:rPr>
        <w:t>vedtægter</w:t>
      </w:r>
      <w:r>
        <w:rPr>
          <w:sz w:val="22"/>
          <w:szCs w:val="22"/>
        </w:rPr>
        <w:t>ne</w:t>
      </w:r>
      <w:r w:rsidR="001C08A3">
        <w:rPr>
          <w:sz w:val="22"/>
          <w:szCs w:val="22"/>
        </w:rPr>
        <w:t xml:space="preserve">. </w:t>
      </w:r>
      <w:r w:rsidR="00BD4D78">
        <w:rPr>
          <w:sz w:val="22"/>
          <w:szCs w:val="22"/>
        </w:rPr>
        <w:t xml:space="preserve">De </w:t>
      </w:r>
      <w:r w:rsidR="0070519D">
        <w:rPr>
          <w:sz w:val="22"/>
          <w:szCs w:val="22"/>
        </w:rPr>
        <w:t>to er udpeget</w:t>
      </w:r>
      <w:r w:rsidR="001C08A3">
        <w:rPr>
          <w:sz w:val="22"/>
          <w:szCs w:val="22"/>
        </w:rPr>
        <w:t xml:space="preserve"> af Musikteatret-Holstebro efter forudgående godkendelse af Holstebro </w:t>
      </w:r>
      <w:r w:rsidR="0070519D">
        <w:rPr>
          <w:sz w:val="22"/>
          <w:szCs w:val="22"/>
        </w:rPr>
        <w:t>Kommunes b</w:t>
      </w:r>
      <w:r w:rsidR="001C08A3">
        <w:rPr>
          <w:sz w:val="22"/>
          <w:szCs w:val="22"/>
        </w:rPr>
        <w:t xml:space="preserve">yråd. </w:t>
      </w:r>
      <w:r w:rsidR="0070519D">
        <w:rPr>
          <w:sz w:val="22"/>
          <w:szCs w:val="22"/>
        </w:rPr>
        <w:t>To</w:t>
      </w:r>
      <w:r w:rsidR="001C08A3">
        <w:rPr>
          <w:sz w:val="22"/>
          <w:szCs w:val="22"/>
        </w:rPr>
        <w:t xml:space="preserve"> medlemmer udpeges af </w:t>
      </w:r>
      <w:r w:rsidR="0070519D">
        <w:rPr>
          <w:sz w:val="22"/>
          <w:szCs w:val="22"/>
        </w:rPr>
        <w:t>b</w:t>
      </w:r>
      <w:r w:rsidR="001C08A3">
        <w:rPr>
          <w:sz w:val="22"/>
          <w:szCs w:val="22"/>
        </w:rPr>
        <w:t>yråd</w:t>
      </w:r>
      <w:r w:rsidR="0070519D">
        <w:rPr>
          <w:sz w:val="22"/>
          <w:szCs w:val="22"/>
        </w:rPr>
        <w:t>et,</w:t>
      </w:r>
      <w:r w:rsidR="001C08A3">
        <w:rPr>
          <w:sz w:val="22"/>
          <w:szCs w:val="22"/>
        </w:rPr>
        <w:t xml:space="preserve"> og </w:t>
      </w:r>
      <w:r w:rsidR="00BD4D78">
        <w:rPr>
          <w:sz w:val="22"/>
          <w:szCs w:val="22"/>
        </w:rPr>
        <w:t xml:space="preserve">det sidste medlem er den til enhver tid siddende formand for Fonden </w:t>
      </w:r>
      <w:proofErr w:type="spellStart"/>
      <w:r w:rsidR="00BD4D78">
        <w:rPr>
          <w:sz w:val="22"/>
          <w:szCs w:val="22"/>
        </w:rPr>
        <w:t>Newco</w:t>
      </w:r>
      <w:proofErr w:type="spellEnd"/>
      <w:r w:rsidR="0070519D">
        <w:rPr>
          <w:sz w:val="22"/>
          <w:szCs w:val="22"/>
        </w:rPr>
        <w:t xml:space="preserve"> (</w:t>
      </w:r>
      <w:r w:rsidR="002A11D7">
        <w:rPr>
          <w:sz w:val="22"/>
          <w:szCs w:val="22"/>
        </w:rPr>
        <w:t>en juridisk konstruktion, der alene har som formål at eje teaterbygningen og have ansvar for det lån, der er i denne</w:t>
      </w:r>
      <w:r w:rsidR="0070519D">
        <w:rPr>
          <w:sz w:val="22"/>
          <w:szCs w:val="22"/>
        </w:rPr>
        <w:t>)</w:t>
      </w:r>
      <w:r w:rsidR="00BD4D78">
        <w:rPr>
          <w:sz w:val="22"/>
          <w:szCs w:val="22"/>
        </w:rPr>
        <w:t xml:space="preserve">. Bestyrelsen for egnsteatret vælger selv formand og næstformand. </w:t>
      </w:r>
    </w:p>
    <w:p w14:paraId="15426582" w14:textId="77777777" w:rsidR="0035035D" w:rsidRDefault="0035035D" w:rsidP="00091AA2">
      <w:pPr>
        <w:pStyle w:val="Default"/>
        <w:rPr>
          <w:sz w:val="22"/>
          <w:szCs w:val="22"/>
        </w:rPr>
      </w:pPr>
    </w:p>
    <w:p w14:paraId="2F3CF32F" w14:textId="77777777" w:rsidR="00CC059A" w:rsidRDefault="0035035D" w:rsidP="00222D75">
      <w:pPr>
        <w:pStyle w:val="Default"/>
        <w:rPr>
          <w:sz w:val="22"/>
          <w:szCs w:val="22"/>
        </w:rPr>
      </w:pPr>
      <w:r w:rsidRPr="00E1518D">
        <w:rPr>
          <w:sz w:val="22"/>
          <w:szCs w:val="22"/>
        </w:rPr>
        <w:t>D</w:t>
      </w:r>
      <w:r w:rsidR="00BD4D78" w:rsidRPr="00E1518D">
        <w:rPr>
          <w:sz w:val="22"/>
          <w:szCs w:val="22"/>
        </w:rPr>
        <w:t xml:space="preserve">en nuværende </w:t>
      </w:r>
      <w:r w:rsidR="00222D75" w:rsidRPr="00E1518D">
        <w:rPr>
          <w:sz w:val="22"/>
          <w:szCs w:val="22"/>
        </w:rPr>
        <w:t>bestyrelse</w:t>
      </w:r>
      <w:r w:rsidR="00BD4D78" w:rsidRPr="00E1518D">
        <w:rPr>
          <w:sz w:val="22"/>
          <w:szCs w:val="22"/>
        </w:rPr>
        <w:t xml:space="preserve"> </w:t>
      </w:r>
      <w:r w:rsidRPr="00E1518D">
        <w:rPr>
          <w:sz w:val="22"/>
          <w:szCs w:val="22"/>
        </w:rPr>
        <w:t xml:space="preserve">består af </w:t>
      </w:r>
      <w:r w:rsidR="00BD4D78" w:rsidRPr="00E1518D">
        <w:rPr>
          <w:sz w:val="22"/>
          <w:szCs w:val="22"/>
        </w:rPr>
        <w:t>Michael Christiansen</w:t>
      </w:r>
      <w:r w:rsidRPr="00E1518D">
        <w:rPr>
          <w:sz w:val="22"/>
          <w:szCs w:val="22"/>
        </w:rPr>
        <w:t xml:space="preserve"> </w:t>
      </w:r>
      <w:r w:rsidR="003C62BE">
        <w:rPr>
          <w:sz w:val="22"/>
          <w:szCs w:val="22"/>
        </w:rPr>
        <w:t>(</w:t>
      </w:r>
      <w:r w:rsidR="00BD4D78" w:rsidRPr="00E1518D">
        <w:rPr>
          <w:sz w:val="22"/>
          <w:szCs w:val="22"/>
        </w:rPr>
        <w:t>formand</w:t>
      </w:r>
      <w:r w:rsidR="003C62BE">
        <w:rPr>
          <w:sz w:val="22"/>
          <w:szCs w:val="22"/>
        </w:rPr>
        <w:t>)</w:t>
      </w:r>
      <w:r w:rsidR="00796BD1" w:rsidRPr="00E1518D">
        <w:rPr>
          <w:sz w:val="22"/>
          <w:szCs w:val="22"/>
        </w:rPr>
        <w:t>,</w:t>
      </w:r>
      <w:r w:rsidR="00BD4D78" w:rsidRPr="00E1518D">
        <w:rPr>
          <w:sz w:val="22"/>
          <w:szCs w:val="22"/>
        </w:rPr>
        <w:t xml:space="preserve"> </w:t>
      </w:r>
      <w:r w:rsidR="00E1518D" w:rsidRPr="00E1518D">
        <w:rPr>
          <w:sz w:val="22"/>
          <w:szCs w:val="22"/>
        </w:rPr>
        <w:t xml:space="preserve">Morten Pedersen Flæng (næstformand), Torben Lindberg Strømgaard, </w:t>
      </w:r>
      <w:r w:rsidR="00BD4D78" w:rsidRPr="00E1518D">
        <w:rPr>
          <w:sz w:val="22"/>
          <w:szCs w:val="22"/>
        </w:rPr>
        <w:t xml:space="preserve">Bodil </w:t>
      </w:r>
      <w:proofErr w:type="spellStart"/>
      <w:r w:rsidR="00BD4D78" w:rsidRPr="00E1518D">
        <w:rPr>
          <w:sz w:val="22"/>
          <w:szCs w:val="22"/>
        </w:rPr>
        <w:t>Hagild</w:t>
      </w:r>
      <w:proofErr w:type="spellEnd"/>
      <w:r w:rsidR="00E1518D" w:rsidRPr="00E1518D">
        <w:rPr>
          <w:sz w:val="22"/>
          <w:szCs w:val="22"/>
        </w:rPr>
        <w:t xml:space="preserve"> og Lene Skovsgaard Sørensen</w:t>
      </w:r>
      <w:r w:rsidR="00BD4D78" w:rsidRPr="00E1518D">
        <w:rPr>
          <w:sz w:val="22"/>
          <w:szCs w:val="22"/>
        </w:rPr>
        <w:t xml:space="preserve">. </w:t>
      </w:r>
      <w:r w:rsidR="004E0621" w:rsidRPr="00E1518D">
        <w:rPr>
          <w:sz w:val="22"/>
          <w:szCs w:val="22"/>
        </w:rPr>
        <w:t>T</w:t>
      </w:r>
      <w:r w:rsidR="00CF6E5B" w:rsidRPr="00E1518D">
        <w:rPr>
          <w:sz w:val="22"/>
          <w:szCs w:val="22"/>
        </w:rPr>
        <w:t>o</w:t>
      </w:r>
      <w:r w:rsidR="004E0621" w:rsidRPr="00E1518D">
        <w:rPr>
          <w:sz w:val="22"/>
          <w:szCs w:val="22"/>
        </w:rPr>
        <w:t xml:space="preserve"> af </w:t>
      </w:r>
      <w:r w:rsidR="00941DFC" w:rsidRPr="00E1518D">
        <w:rPr>
          <w:sz w:val="22"/>
          <w:szCs w:val="22"/>
        </w:rPr>
        <w:t>bestyrelsesmedlemmer</w:t>
      </w:r>
      <w:r w:rsidR="004E0621" w:rsidRPr="00E1518D">
        <w:rPr>
          <w:sz w:val="22"/>
          <w:szCs w:val="22"/>
        </w:rPr>
        <w:t>ne</w:t>
      </w:r>
      <w:r w:rsidR="00941DFC" w:rsidRPr="00E1518D">
        <w:rPr>
          <w:sz w:val="22"/>
          <w:szCs w:val="22"/>
        </w:rPr>
        <w:t xml:space="preserve"> </w:t>
      </w:r>
      <w:r w:rsidR="004E0621" w:rsidRPr="00E1518D">
        <w:rPr>
          <w:sz w:val="22"/>
          <w:szCs w:val="22"/>
        </w:rPr>
        <w:t>er også med i bestyrelsen</w:t>
      </w:r>
      <w:r w:rsidR="00941DFC" w:rsidRPr="00E1518D">
        <w:rPr>
          <w:sz w:val="22"/>
          <w:szCs w:val="22"/>
        </w:rPr>
        <w:t xml:space="preserve"> i Musikteater-Holstebro</w:t>
      </w:r>
      <w:r w:rsidR="00CF6E5B" w:rsidRPr="00E1518D">
        <w:rPr>
          <w:sz w:val="22"/>
          <w:szCs w:val="22"/>
        </w:rPr>
        <w:t>, men med allerede trufne beslutninger ændres dette pr. 1.1. 2018, og det vil herefter alene være</w:t>
      </w:r>
      <w:r w:rsidR="00941DFC" w:rsidRPr="00E1518D">
        <w:rPr>
          <w:sz w:val="22"/>
          <w:szCs w:val="22"/>
        </w:rPr>
        <w:t xml:space="preserve"> Michael Christiansen</w:t>
      </w:r>
      <w:r w:rsidR="00CF6E5B" w:rsidRPr="00E1518D">
        <w:rPr>
          <w:sz w:val="22"/>
          <w:szCs w:val="22"/>
        </w:rPr>
        <w:t>, der deltager i begge bestyrelser</w:t>
      </w:r>
      <w:r w:rsidR="00CF35A1" w:rsidRPr="00E1518D">
        <w:rPr>
          <w:sz w:val="22"/>
          <w:szCs w:val="22"/>
        </w:rPr>
        <w:t xml:space="preserve">. </w:t>
      </w:r>
    </w:p>
    <w:p w14:paraId="504A2C70" w14:textId="77777777" w:rsidR="002A499E" w:rsidRPr="00165B3E" w:rsidRDefault="002A499E" w:rsidP="00165B3E">
      <w:pPr>
        <w:pStyle w:val="Overskrift2"/>
      </w:pPr>
      <w:bookmarkStart w:id="4" w:name="_Toc484674621"/>
      <w:r w:rsidRPr="00165B3E">
        <w:t>Økonomi</w:t>
      </w:r>
      <w:bookmarkEnd w:id="4"/>
    </w:p>
    <w:p w14:paraId="4897A0C6" w14:textId="77777777" w:rsidR="00E43A44" w:rsidRPr="00E43A44" w:rsidRDefault="0018085D" w:rsidP="0018085D">
      <w:pPr>
        <w:pStyle w:val="Default"/>
        <w:rPr>
          <w:sz w:val="22"/>
          <w:szCs w:val="22"/>
        </w:rPr>
      </w:pPr>
      <w:r w:rsidRPr="008B0040">
        <w:rPr>
          <w:sz w:val="22"/>
          <w:szCs w:val="22"/>
        </w:rPr>
        <w:t xml:space="preserve">I 2013 havde </w:t>
      </w:r>
      <w:r>
        <w:rPr>
          <w:sz w:val="22"/>
          <w:szCs w:val="22"/>
        </w:rPr>
        <w:t>Black Box Theatre</w:t>
      </w:r>
      <w:r w:rsidRPr="008B0040">
        <w:rPr>
          <w:sz w:val="22"/>
          <w:szCs w:val="22"/>
        </w:rPr>
        <w:t xml:space="preserve"> en samlet omsætning på ca. </w:t>
      </w:r>
      <w:r>
        <w:rPr>
          <w:sz w:val="22"/>
          <w:szCs w:val="22"/>
        </w:rPr>
        <w:t xml:space="preserve">9,3 </w:t>
      </w:r>
      <w:r w:rsidRPr="008B0040">
        <w:rPr>
          <w:sz w:val="22"/>
          <w:szCs w:val="22"/>
        </w:rPr>
        <w:t xml:space="preserve">mio. kr., i 2014 ca. </w:t>
      </w:r>
      <w:r>
        <w:rPr>
          <w:sz w:val="22"/>
          <w:szCs w:val="22"/>
        </w:rPr>
        <w:t>15,4</w:t>
      </w:r>
      <w:r w:rsidRPr="008B0040">
        <w:rPr>
          <w:sz w:val="22"/>
          <w:szCs w:val="22"/>
        </w:rPr>
        <w:t xml:space="preserve"> mio. kr. og i 2015 </w:t>
      </w:r>
      <w:r w:rsidR="002D5C94">
        <w:rPr>
          <w:sz w:val="22"/>
          <w:szCs w:val="22"/>
        </w:rPr>
        <w:t xml:space="preserve">ca. </w:t>
      </w:r>
      <w:r>
        <w:rPr>
          <w:sz w:val="22"/>
          <w:szCs w:val="22"/>
        </w:rPr>
        <w:t>12,3</w:t>
      </w:r>
      <w:r w:rsidRPr="008B0040">
        <w:rPr>
          <w:sz w:val="22"/>
          <w:szCs w:val="22"/>
        </w:rPr>
        <w:t xml:space="preserve"> </w:t>
      </w:r>
      <w:r>
        <w:rPr>
          <w:sz w:val="22"/>
          <w:szCs w:val="22"/>
        </w:rPr>
        <w:t xml:space="preserve">mio. kr. </w:t>
      </w:r>
      <w:r w:rsidRPr="008B0040">
        <w:rPr>
          <w:sz w:val="22"/>
          <w:szCs w:val="22"/>
        </w:rPr>
        <w:t xml:space="preserve">(se tabel 1). Teatrets driftstilskud fra </w:t>
      </w:r>
      <w:r>
        <w:rPr>
          <w:sz w:val="22"/>
          <w:szCs w:val="22"/>
        </w:rPr>
        <w:t xml:space="preserve">Holstebro </w:t>
      </w:r>
      <w:r w:rsidRPr="008B0040">
        <w:rPr>
          <w:sz w:val="22"/>
          <w:szCs w:val="22"/>
        </w:rPr>
        <w:t>Kommune udg</w:t>
      </w:r>
      <w:r>
        <w:rPr>
          <w:sz w:val="22"/>
          <w:szCs w:val="22"/>
        </w:rPr>
        <w:t xml:space="preserve">jorde i 2013 ca. 8,3 mio. kr. </w:t>
      </w:r>
      <w:r w:rsidR="002D5C94">
        <w:rPr>
          <w:sz w:val="22"/>
          <w:szCs w:val="22"/>
        </w:rPr>
        <w:t xml:space="preserve">(89 % af samlet omsætning), </w:t>
      </w:r>
      <w:r>
        <w:rPr>
          <w:sz w:val="22"/>
          <w:szCs w:val="22"/>
        </w:rPr>
        <w:t>i 2014 og 2015 9,5 mio. kr.</w:t>
      </w:r>
      <w:r w:rsidRPr="008B0040">
        <w:rPr>
          <w:sz w:val="22"/>
          <w:szCs w:val="22"/>
        </w:rPr>
        <w:t xml:space="preserve"> </w:t>
      </w:r>
      <w:r w:rsidR="002D5C94">
        <w:rPr>
          <w:sz w:val="22"/>
          <w:szCs w:val="22"/>
        </w:rPr>
        <w:t>(</w:t>
      </w:r>
      <w:r>
        <w:rPr>
          <w:sz w:val="22"/>
          <w:szCs w:val="22"/>
        </w:rPr>
        <w:t>hhv., 62</w:t>
      </w:r>
      <w:r w:rsidR="002D5C94">
        <w:rPr>
          <w:sz w:val="22"/>
          <w:szCs w:val="22"/>
        </w:rPr>
        <w:t xml:space="preserve"> </w:t>
      </w:r>
      <w:r>
        <w:rPr>
          <w:sz w:val="22"/>
          <w:szCs w:val="22"/>
        </w:rPr>
        <w:t>% og 77</w:t>
      </w:r>
      <w:r w:rsidR="002D5C94">
        <w:rPr>
          <w:sz w:val="22"/>
          <w:szCs w:val="22"/>
        </w:rPr>
        <w:t xml:space="preserve"> </w:t>
      </w:r>
      <w:r>
        <w:rPr>
          <w:sz w:val="22"/>
          <w:szCs w:val="22"/>
        </w:rPr>
        <w:t>%</w:t>
      </w:r>
      <w:r w:rsidR="002D5C94">
        <w:rPr>
          <w:sz w:val="22"/>
          <w:szCs w:val="22"/>
        </w:rPr>
        <w:t>)</w:t>
      </w:r>
      <w:r w:rsidRPr="008B0040">
        <w:rPr>
          <w:sz w:val="22"/>
          <w:szCs w:val="22"/>
        </w:rPr>
        <w:t xml:space="preserve">. </w:t>
      </w:r>
      <w:r w:rsidR="006558DB" w:rsidRPr="006558DB">
        <w:rPr>
          <w:sz w:val="22"/>
          <w:szCs w:val="22"/>
        </w:rPr>
        <w:t>Det kommunale driftstilskud svarer til maksimumbeløb</w:t>
      </w:r>
      <w:r w:rsidR="006558DB">
        <w:rPr>
          <w:sz w:val="22"/>
          <w:szCs w:val="22"/>
        </w:rPr>
        <w:t>et</w:t>
      </w:r>
      <w:r w:rsidR="006558DB" w:rsidRPr="006558DB">
        <w:rPr>
          <w:sz w:val="22"/>
          <w:szCs w:val="22"/>
        </w:rPr>
        <w:t xml:space="preserve"> </w:t>
      </w:r>
      <w:r w:rsidR="006558DB">
        <w:rPr>
          <w:sz w:val="22"/>
          <w:szCs w:val="22"/>
        </w:rPr>
        <w:t xml:space="preserve">for en </w:t>
      </w:r>
      <w:r w:rsidR="006558DB" w:rsidRPr="006558DB">
        <w:rPr>
          <w:sz w:val="22"/>
          <w:szCs w:val="22"/>
        </w:rPr>
        <w:t>tilskudsydende kommune.</w:t>
      </w:r>
      <w:r w:rsidR="00751D44">
        <w:rPr>
          <w:sz w:val="22"/>
          <w:szCs w:val="22"/>
        </w:rPr>
        <w:t xml:space="preserve"> </w:t>
      </w:r>
      <w:r w:rsidRPr="008B0040">
        <w:rPr>
          <w:sz w:val="22"/>
          <w:szCs w:val="22"/>
        </w:rPr>
        <w:t xml:space="preserve">Staten </w:t>
      </w:r>
      <w:r w:rsidR="009E66FC">
        <w:rPr>
          <w:sz w:val="22"/>
          <w:szCs w:val="22"/>
        </w:rPr>
        <w:t xml:space="preserve">yder </w:t>
      </w:r>
      <w:r w:rsidRPr="008B0040">
        <w:rPr>
          <w:sz w:val="22"/>
          <w:szCs w:val="22"/>
        </w:rPr>
        <w:t xml:space="preserve">årligt refusion af </w:t>
      </w:r>
      <w:r>
        <w:rPr>
          <w:sz w:val="22"/>
          <w:szCs w:val="22"/>
        </w:rPr>
        <w:t>Holstebro</w:t>
      </w:r>
      <w:r w:rsidRPr="008B0040">
        <w:rPr>
          <w:sz w:val="22"/>
          <w:szCs w:val="22"/>
        </w:rPr>
        <w:t xml:space="preserve"> Kommunes driftstilskud til teatret. I 2015 udgjorde den statslige refusion 38,5 %.</w:t>
      </w:r>
      <w:r w:rsidR="00D76F2E">
        <w:rPr>
          <w:sz w:val="22"/>
          <w:szCs w:val="22"/>
        </w:rPr>
        <w:t xml:space="preserve"> </w:t>
      </w:r>
      <w:r w:rsidR="00D76F2E" w:rsidRPr="00D76F2E">
        <w:rPr>
          <w:sz w:val="22"/>
          <w:szCs w:val="22"/>
        </w:rPr>
        <w:t>Den samlede omsætning</w:t>
      </w:r>
      <w:r w:rsidR="00E43A44" w:rsidRPr="00D76F2E">
        <w:rPr>
          <w:sz w:val="22"/>
          <w:szCs w:val="22"/>
        </w:rPr>
        <w:t xml:space="preserve"> for 2016 er ifølge oplysninger fra teatret </w:t>
      </w:r>
      <w:r w:rsidR="00D76F2E" w:rsidRPr="00D76F2E">
        <w:rPr>
          <w:sz w:val="22"/>
          <w:szCs w:val="22"/>
        </w:rPr>
        <w:t>13.574</w:t>
      </w:r>
      <w:r w:rsidR="00E43A44" w:rsidRPr="00D76F2E">
        <w:rPr>
          <w:sz w:val="22"/>
          <w:szCs w:val="22"/>
        </w:rPr>
        <w:t xml:space="preserve"> kr., ligesom omsætningen i 2017 forventes at være stadig højere.</w:t>
      </w:r>
    </w:p>
    <w:p w14:paraId="7BFFAED5" w14:textId="77777777" w:rsidR="0018085D" w:rsidRPr="00E43A44" w:rsidRDefault="0018085D" w:rsidP="0018085D"/>
    <w:p w14:paraId="1AE31898" w14:textId="77777777" w:rsidR="006B32A7" w:rsidRDefault="0018085D" w:rsidP="0018085D">
      <w:pPr>
        <w:rPr>
          <w:rFonts w:eastAsia="Times New Roman" w:cs="Times New Roman"/>
        </w:rPr>
      </w:pPr>
      <w:r w:rsidRPr="00E43A44">
        <w:t>Egnsteatr</w:t>
      </w:r>
      <w:r w:rsidR="00137ACB" w:rsidRPr="00E43A44">
        <w:t>ets</w:t>
      </w:r>
      <w:r w:rsidRPr="00E43A44">
        <w:t xml:space="preserve"> egenomsætning (entr</w:t>
      </w:r>
      <w:r w:rsidRPr="008B0040">
        <w:t>eindtægter</w:t>
      </w:r>
      <w:r>
        <w:t xml:space="preserve"> og </w:t>
      </w:r>
      <w:r w:rsidRPr="008B0040">
        <w:t xml:space="preserve">puljer) udgjorde i 2013 ca. </w:t>
      </w:r>
      <w:r>
        <w:t xml:space="preserve">0,9 </w:t>
      </w:r>
      <w:r w:rsidRPr="008B0040">
        <w:t xml:space="preserve">mio. </w:t>
      </w:r>
      <w:r w:rsidR="00137ACB">
        <w:t>kr., svarende til</w:t>
      </w:r>
      <w:r w:rsidRPr="008B0040">
        <w:t xml:space="preserve"> </w:t>
      </w:r>
      <w:r>
        <w:t>11</w:t>
      </w:r>
      <w:r w:rsidRPr="008B0040">
        <w:t xml:space="preserve"> % af </w:t>
      </w:r>
      <w:r w:rsidR="00137ACB">
        <w:t xml:space="preserve">samlet </w:t>
      </w:r>
      <w:r w:rsidRPr="008B0040">
        <w:t xml:space="preserve">omsætning, mens </w:t>
      </w:r>
      <w:r>
        <w:t xml:space="preserve">den </w:t>
      </w:r>
      <w:r w:rsidRPr="008B0040">
        <w:t xml:space="preserve">i 2014 og 2015 udgjorde hhv. </w:t>
      </w:r>
      <w:r>
        <w:t>38</w:t>
      </w:r>
      <w:r w:rsidRPr="008B0040">
        <w:t xml:space="preserve"> % og </w:t>
      </w:r>
      <w:r>
        <w:t>23</w:t>
      </w:r>
      <w:r w:rsidRPr="008B0040">
        <w:t xml:space="preserve"> %. </w:t>
      </w:r>
      <w:r w:rsidR="006B32A7">
        <w:rPr>
          <w:rFonts w:eastAsia="Times New Roman" w:cs="Times New Roman"/>
        </w:rPr>
        <w:t xml:space="preserve">Fremadrettet har Black Box Dance Company netop modtaget midler fra </w:t>
      </w:r>
      <w:r w:rsidR="004D5A40">
        <w:rPr>
          <w:rFonts w:eastAsia="Times New Roman" w:cs="Times New Roman"/>
        </w:rPr>
        <w:t>Bikuben fonden</w:t>
      </w:r>
      <w:r w:rsidR="006B32A7">
        <w:rPr>
          <w:rFonts w:eastAsia="Times New Roman" w:cs="Times New Roman"/>
        </w:rPr>
        <w:t xml:space="preserve"> til udvikling af det danske dansemiljø og den geografiske tilgængelighed</w:t>
      </w:r>
      <w:r w:rsidR="004D5A40">
        <w:rPr>
          <w:rFonts w:eastAsia="Times New Roman" w:cs="Times New Roman"/>
        </w:rPr>
        <w:t>, 1 mio. kr. årligt i 2017-19</w:t>
      </w:r>
      <w:r w:rsidR="006B32A7">
        <w:rPr>
          <w:rFonts w:eastAsia="Times New Roman" w:cs="Times New Roman"/>
        </w:rPr>
        <w:t>.</w:t>
      </w:r>
      <w:r w:rsidR="00E43A44">
        <w:rPr>
          <w:rFonts w:eastAsia="Times New Roman" w:cs="Times New Roman"/>
        </w:rPr>
        <w:t xml:space="preserve"> </w:t>
      </w:r>
    </w:p>
    <w:p w14:paraId="15333266" w14:textId="77777777" w:rsidR="00E43A44" w:rsidRDefault="00E43A44" w:rsidP="0018085D">
      <w:pPr>
        <w:rPr>
          <w:rFonts w:eastAsia="Times New Roman" w:cs="Times New Roman"/>
        </w:rPr>
      </w:pPr>
    </w:p>
    <w:p w14:paraId="682128DA" w14:textId="77777777" w:rsidR="00E43A44" w:rsidRDefault="00E43A44" w:rsidP="0018085D">
      <w:pPr>
        <w:rPr>
          <w:rFonts w:eastAsia="Times New Roman" w:cs="Times New Roman"/>
        </w:rPr>
      </w:pPr>
      <w:r>
        <w:rPr>
          <w:rFonts w:eastAsia="Times New Roman" w:cs="Times New Roman"/>
        </w:rPr>
        <w:t xml:space="preserve">I forbindelse med evalueringen af teatret fremkom det, at sponsorindtægter ikke synliggøres i Black Box Theatres regnskab, da sponsorklubben er fælles med Musikteatret. </w:t>
      </w:r>
      <w:r w:rsidRPr="00D76F2E">
        <w:rPr>
          <w:rFonts w:eastAsia="Times New Roman" w:cs="Times New Roman"/>
        </w:rPr>
        <w:t>Efter ledelsens beregninger ville der</w:t>
      </w:r>
      <w:r w:rsidR="00D76F2E">
        <w:rPr>
          <w:rFonts w:eastAsia="Times New Roman" w:cs="Times New Roman"/>
        </w:rPr>
        <w:t xml:space="preserve"> således </w:t>
      </w:r>
      <w:r w:rsidRPr="00D76F2E">
        <w:rPr>
          <w:rFonts w:eastAsia="Times New Roman" w:cs="Times New Roman"/>
        </w:rPr>
        <w:t xml:space="preserve">kunne bogføres ca. 1 mio. kr. årligt, svarende til </w:t>
      </w:r>
      <w:r w:rsidR="00D76F2E">
        <w:rPr>
          <w:rFonts w:eastAsia="Times New Roman" w:cs="Times New Roman"/>
        </w:rPr>
        <w:t xml:space="preserve">ca. </w:t>
      </w:r>
      <w:r w:rsidRPr="00D76F2E">
        <w:rPr>
          <w:rFonts w:eastAsia="Times New Roman" w:cs="Times New Roman"/>
        </w:rPr>
        <w:t>den fjerdedel</w:t>
      </w:r>
      <w:r w:rsidR="00D76F2E">
        <w:rPr>
          <w:rFonts w:eastAsia="Times New Roman" w:cs="Times New Roman"/>
        </w:rPr>
        <w:t xml:space="preserve">, egnsteatret udgør i forhold til </w:t>
      </w:r>
      <w:r w:rsidRPr="00D76F2E">
        <w:rPr>
          <w:rFonts w:eastAsia="Times New Roman" w:cs="Times New Roman"/>
        </w:rPr>
        <w:t>egnsteatrets økonomi og sponsoraktivitet. Ledelsen vil overveje og evt. ændre dette fo</w:t>
      </w:r>
      <w:r>
        <w:rPr>
          <w:rFonts w:eastAsia="Times New Roman" w:cs="Times New Roman"/>
        </w:rPr>
        <w:t>rhold fremadrettet.</w:t>
      </w:r>
    </w:p>
    <w:p w14:paraId="5B291D11" w14:textId="77777777" w:rsidR="006B32A7" w:rsidRDefault="006B32A7" w:rsidP="0018085D"/>
    <w:p w14:paraId="534D0844" w14:textId="77777777" w:rsidR="006B32A7" w:rsidRDefault="00E30F30" w:rsidP="0018085D">
      <w:pPr>
        <w:rPr>
          <w:rFonts w:eastAsia="Times New Roman" w:cs="Times New Roman"/>
        </w:rPr>
      </w:pPr>
      <w:r>
        <w:rPr>
          <w:rFonts w:eastAsia="Times New Roman" w:cs="Times New Roman"/>
        </w:rPr>
        <w:t xml:space="preserve">I tabel 2 ses fordelingen af </w:t>
      </w:r>
      <w:r w:rsidR="00B30CC8" w:rsidRPr="00A444BE">
        <w:rPr>
          <w:rFonts w:eastAsia="Times New Roman" w:cs="Times New Roman"/>
        </w:rPr>
        <w:t xml:space="preserve">omkostninger. Huslejeomkostninger udgør </w:t>
      </w:r>
      <w:r w:rsidR="00B30CC8">
        <w:rPr>
          <w:rFonts w:eastAsia="Times New Roman" w:cs="Times New Roman"/>
        </w:rPr>
        <w:t xml:space="preserve">over de tre </w:t>
      </w:r>
      <w:proofErr w:type="spellStart"/>
      <w:r w:rsidR="00B30CC8">
        <w:rPr>
          <w:rFonts w:eastAsia="Times New Roman" w:cs="Times New Roman"/>
        </w:rPr>
        <w:t>måleår</w:t>
      </w:r>
      <w:proofErr w:type="spellEnd"/>
      <w:r w:rsidR="00B30CC8">
        <w:rPr>
          <w:rFonts w:eastAsia="Times New Roman" w:cs="Times New Roman"/>
        </w:rPr>
        <w:t xml:space="preserve"> 9 – 15</w:t>
      </w:r>
      <w:r w:rsidR="00B30CC8" w:rsidRPr="00A444BE">
        <w:rPr>
          <w:rFonts w:eastAsia="Times New Roman" w:cs="Times New Roman"/>
        </w:rPr>
        <w:t xml:space="preserve"> %.</w:t>
      </w:r>
      <w:r w:rsidR="006B32A7">
        <w:rPr>
          <w:rFonts w:eastAsia="Times New Roman" w:cs="Times New Roman"/>
        </w:rPr>
        <w:t xml:space="preserve"> </w:t>
      </w:r>
      <w:r w:rsidR="00326131" w:rsidRPr="00054798">
        <w:rPr>
          <w:rFonts w:eastAsia="Times New Roman" w:cs="Times New Roman"/>
        </w:rPr>
        <w:t>Administrationsaftalen indeholder også løn til Joakim Pedersen</w:t>
      </w:r>
      <w:r w:rsidR="00753E33" w:rsidRPr="00054798">
        <w:rPr>
          <w:rFonts w:eastAsia="Times New Roman" w:cs="Times New Roman"/>
        </w:rPr>
        <w:t xml:space="preserve"> og Anders Jørgensen</w:t>
      </w:r>
      <w:r w:rsidR="00326131" w:rsidRPr="00054798">
        <w:rPr>
          <w:rFonts w:eastAsia="Times New Roman" w:cs="Times New Roman"/>
        </w:rPr>
        <w:t>, mens Marie Broli</w:t>
      </w:r>
      <w:r w:rsidR="00326131">
        <w:rPr>
          <w:rFonts w:eastAsia="Times New Roman" w:cs="Times New Roman"/>
        </w:rPr>
        <w:t>n indgår i Øvrige omkostninger, løn til kunstnerisk personale.</w:t>
      </w:r>
    </w:p>
    <w:p w14:paraId="4D42F28B" w14:textId="77777777" w:rsidR="0018085D" w:rsidRPr="008B0040" w:rsidRDefault="0018085D" w:rsidP="0018085D"/>
    <w:p w14:paraId="1C5F902C" w14:textId="77777777" w:rsidR="00B87AB6" w:rsidRDefault="00B87AB6" w:rsidP="00B87AB6">
      <w:pPr>
        <w:pStyle w:val="Billedtekst"/>
      </w:pPr>
      <w:r w:rsidRPr="00B87AB6">
        <w:t xml:space="preserve">Tabel </w:t>
      </w:r>
      <w:r w:rsidR="00877FAB">
        <w:fldChar w:fldCharType="begin"/>
      </w:r>
      <w:r w:rsidR="00877FAB">
        <w:instrText xml:space="preserve"> SEQ Tabel \* ARABIC </w:instrText>
      </w:r>
      <w:r w:rsidR="00877FAB">
        <w:fldChar w:fldCharType="separate"/>
      </w:r>
      <w:r w:rsidR="0025703B">
        <w:rPr>
          <w:noProof/>
        </w:rPr>
        <w:t>1</w:t>
      </w:r>
      <w:r w:rsidR="00877FAB">
        <w:rPr>
          <w:noProof/>
        </w:rPr>
        <w:fldChar w:fldCharType="end"/>
      </w:r>
      <w:r w:rsidRPr="00B87AB6">
        <w:t>: Omsætningsfordeling i kr. og procent af samlet beløb</w:t>
      </w:r>
    </w:p>
    <w:tbl>
      <w:tblPr>
        <w:tblW w:w="9708" w:type="dxa"/>
        <w:tblInd w:w="70" w:type="dxa"/>
        <w:tblBorders>
          <w:top w:val="single" w:sz="4" w:space="0" w:color="403152" w:themeColor="accent3"/>
          <w:left w:val="single" w:sz="4" w:space="0" w:color="403152" w:themeColor="accent3"/>
          <w:bottom w:val="single" w:sz="4" w:space="0" w:color="403152" w:themeColor="accent3"/>
          <w:right w:val="single" w:sz="4" w:space="0" w:color="403152" w:themeColor="accent3"/>
          <w:insideH w:val="single" w:sz="4" w:space="0" w:color="403152" w:themeColor="accent3"/>
          <w:insideV w:val="single" w:sz="4" w:space="0" w:color="403152" w:themeColor="accent3"/>
        </w:tblBorders>
        <w:tblLayout w:type="fixed"/>
        <w:tblCellMar>
          <w:left w:w="70" w:type="dxa"/>
          <w:right w:w="70" w:type="dxa"/>
        </w:tblCellMar>
        <w:tblLook w:val="04A0" w:firstRow="1" w:lastRow="0" w:firstColumn="1" w:lastColumn="0" w:noHBand="0" w:noVBand="1"/>
      </w:tblPr>
      <w:tblGrid>
        <w:gridCol w:w="3261"/>
        <w:gridCol w:w="1074"/>
        <w:gridCol w:w="1075"/>
        <w:gridCol w:w="1074"/>
        <w:gridCol w:w="1075"/>
        <w:gridCol w:w="1074"/>
        <w:gridCol w:w="1075"/>
      </w:tblGrid>
      <w:tr w:rsidR="0060550A" w:rsidRPr="00B87AB6" w14:paraId="6F0A4A8B" w14:textId="77777777" w:rsidTr="009E2868">
        <w:trPr>
          <w:trHeight w:val="255"/>
        </w:trPr>
        <w:tc>
          <w:tcPr>
            <w:tcW w:w="3261" w:type="dxa"/>
            <w:shd w:val="clear" w:color="auto" w:fill="auto"/>
            <w:noWrap/>
            <w:hideMark/>
          </w:tcPr>
          <w:p w14:paraId="192A9B03" w14:textId="77777777" w:rsidR="0060550A" w:rsidRPr="00B87AB6" w:rsidRDefault="0060550A" w:rsidP="0060550A">
            <w:pPr>
              <w:spacing w:before="40" w:after="40" w:line="240" w:lineRule="auto"/>
              <w:rPr>
                <w:rFonts w:ascii="Calibri" w:eastAsia="Times New Roman" w:hAnsi="Calibri" w:cs="Times New Roman"/>
                <w:color w:val="000000"/>
                <w:sz w:val="18"/>
                <w:szCs w:val="18"/>
                <w:lang w:eastAsia="da-DK"/>
              </w:rPr>
            </w:pPr>
            <w:r w:rsidRPr="00B87AB6">
              <w:rPr>
                <w:rFonts w:ascii="Calibri" w:eastAsia="Times New Roman" w:hAnsi="Calibri" w:cs="Times New Roman"/>
                <w:color w:val="000000"/>
                <w:sz w:val="18"/>
                <w:szCs w:val="18"/>
                <w:lang w:eastAsia="da-DK"/>
              </w:rPr>
              <w:t> </w:t>
            </w:r>
          </w:p>
        </w:tc>
        <w:tc>
          <w:tcPr>
            <w:tcW w:w="1074" w:type="dxa"/>
            <w:shd w:val="clear" w:color="auto" w:fill="403152" w:themeFill="accent3"/>
            <w:noWrap/>
            <w:hideMark/>
          </w:tcPr>
          <w:p w14:paraId="12899051"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3</w:t>
            </w:r>
            <w:r w:rsidRPr="00B87AB6">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noWrap/>
            <w:hideMark/>
          </w:tcPr>
          <w:p w14:paraId="42723F2E"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3</w:t>
            </w:r>
            <w:r w:rsidRPr="00B87AB6">
              <w:rPr>
                <w:rFonts w:ascii="Calibri" w:eastAsia="Times New Roman" w:hAnsi="Calibri" w:cs="Times New Roman"/>
                <w:b/>
                <w:bCs/>
                <w:color w:val="FFFFFF" w:themeColor="background1"/>
                <w:sz w:val="18"/>
                <w:szCs w:val="18"/>
                <w:lang w:eastAsia="da-DK"/>
              </w:rPr>
              <w:br/>
              <w:t>%</w:t>
            </w:r>
          </w:p>
        </w:tc>
        <w:tc>
          <w:tcPr>
            <w:tcW w:w="1074" w:type="dxa"/>
            <w:shd w:val="clear" w:color="auto" w:fill="403152" w:themeFill="accent3"/>
            <w:noWrap/>
            <w:hideMark/>
          </w:tcPr>
          <w:p w14:paraId="33EE93B0"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4</w:t>
            </w:r>
            <w:r w:rsidRPr="00B87AB6">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noWrap/>
            <w:hideMark/>
          </w:tcPr>
          <w:p w14:paraId="62A4A7D1"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4</w:t>
            </w:r>
            <w:r w:rsidRPr="00B87AB6">
              <w:rPr>
                <w:rFonts w:ascii="Calibri" w:eastAsia="Times New Roman" w:hAnsi="Calibri" w:cs="Times New Roman"/>
                <w:b/>
                <w:bCs/>
                <w:color w:val="FFFFFF" w:themeColor="background1"/>
                <w:sz w:val="18"/>
                <w:szCs w:val="18"/>
                <w:lang w:eastAsia="da-DK"/>
              </w:rPr>
              <w:br/>
              <w:t>%</w:t>
            </w:r>
          </w:p>
        </w:tc>
        <w:tc>
          <w:tcPr>
            <w:tcW w:w="1074" w:type="dxa"/>
            <w:shd w:val="clear" w:color="auto" w:fill="403152" w:themeFill="accent3"/>
          </w:tcPr>
          <w:p w14:paraId="61C6F7CE"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5</w:t>
            </w:r>
            <w:r w:rsidRPr="00B87AB6">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tcPr>
          <w:p w14:paraId="291D95D8" w14:textId="77777777" w:rsidR="0060550A" w:rsidRPr="00B87AB6"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B87AB6">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5</w:t>
            </w:r>
            <w:r w:rsidRPr="00B87AB6">
              <w:rPr>
                <w:rFonts w:ascii="Calibri" w:eastAsia="Times New Roman" w:hAnsi="Calibri" w:cs="Times New Roman"/>
                <w:b/>
                <w:bCs/>
                <w:color w:val="FFFFFF" w:themeColor="background1"/>
                <w:sz w:val="18"/>
                <w:szCs w:val="18"/>
                <w:lang w:eastAsia="da-DK"/>
              </w:rPr>
              <w:br/>
              <w:t>%</w:t>
            </w:r>
          </w:p>
        </w:tc>
      </w:tr>
      <w:tr w:rsidR="0060550A" w:rsidRPr="00B87AB6" w14:paraId="26FD9B5E" w14:textId="77777777" w:rsidTr="009E2868">
        <w:trPr>
          <w:trHeight w:val="240"/>
        </w:trPr>
        <w:tc>
          <w:tcPr>
            <w:tcW w:w="3261" w:type="dxa"/>
            <w:shd w:val="clear" w:color="auto" w:fill="F2F2F2" w:themeFill="background1" w:themeFillShade="F2"/>
            <w:noWrap/>
            <w:hideMark/>
          </w:tcPr>
          <w:p w14:paraId="78DAB6D8" w14:textId="77777777" w:rsidR="0060550A" w:rsidRPr="00B87AB6" w:rsidRDefault="0060550A" w:rsidP="0060550A">
            <w:pPr>
              <w:spacing w:before="40" w:after="40" w:line="240" w:lineRule="auto"/>
              <w:rPr>
                <w:rFonts w:ascii="Calibri" w:eastAsia="Times New Roman" w:hAnsi="Calibri" w:cs="Times New Roman"/>
                <w:b/>
                <w:bCs/>
                <w:color w:val="000000"/>
                <w:sz w:val="18"/>
                <w:szCs w:val="18"/>
                <w:lang w:eastAsia="da-DK"/>
              </w:rPr>
            </w:pPr>
            <w:r w:rsidRPr="00B87AB6">
              <w:rPr>
                <w:rFonts w:ascii="Calibri" w:eastAsia="Times New Roman" w:hAnsi="Calibri" w:cs="Times New Roman"/>
                <w:b/>
                <w:bCs/>
                <w:color w:val="000000"/>
                <w:sz w:val="18"/>
                <w:szCs w:val="18"/>
                <w:lang w:eastAsia="da-DK"/>
              </w:rPr>
              <w:t>Egenomsætning i alt</w:t>
            </w:r>
          </w:p>
        </w:tc>
        <w:tc>
          <w:tcPr>
            <w:tcW w:w="1074" w:type="dxa"/>
            <w:shd w:val="clear" w:color="auto" w:fill="F2F2F2" w:themeFill="background1" w:themeFillShade="F2"/>
            <w:noWrap/>
            <w:vAlign w:val="center"/>
          </w:tcPr>
          <w:p w14:paraId="79A58283"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996.668</w:t>
            </w:r>
          </w:p>
        </w:tc>
        <w:tc>
          <w:tcPr>
            <w:tcW w:w="1075" w:type="dxa"/>
            <w:shd w:val="clear" w:color="auto" w:fill="F2F2F2" w:themeFill="background1" w:themeFillShade="F2"/>
            <w:noWrap/>
            <w:vAlign w:val="center"/>
          </w:tcPr>
          <w:p w14:paraId="5D8CDA24"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11 %</w:t>
            </w:r>
          </w:p>
        </w:tc>
        <w:tc>
          <w:tcPr>
            <w:tcW w:w="1074" w:type="dxa"/>
            <w:shd w:val="clear" w:color="auto" w:fill="F2F2F2" w:themeFill="background1" w:themeFillShade="F2"/>
            <w:noWrap/>
            <w:vAlign w:val="center"/>
          </w:tcPr>
          <w:p w14:paraId="7F998F56"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5.933.431</w:t>
            </w:r>
          </w:p>
        </w:tc>
        <w:tc>
          <w:tcPr>
            <w:tcW w:w="1075" w:type="dxa"/>
            <w:shd w:val="clear" w:color="auto" w:fill="F2F2F2" w:themeFill="background1" w:themeFillShade="F2"/>
            <w:noWrap/>
            <w:vAlign w:val="center"/>
          </w:tcPr>
          <w:p w14:paraId="411CC489"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38 %</w:t>
            </w:r>
          </w:p>
        </w:tc>
        <w:tc>
          <w:tcPr>
            <w:tcW w:w="1074" w:type="dxa"/>
            <w:shd w:val="clear" w:color="auto" w:fill="F2F2F2" w:themeFill="background1" w:themeFillShade="F2"/>
            <w:vAlign w:val="center"/>
          </w:tcPr>
          <w:p w14:paraId="07ACA400"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2.812.186</w:t>
            </w:r>
          </w:p>
        </w:tc>
        <w:tc>
          <w:tcPr>
            <w:tcW w:w="1075" w:type="dxa"/>
            <w:shd w:val="clear" w:color="auto" w:fill="F2F2F2" w:themeFill="background1" w:themeFillShade="F2"/>
            <w:vAlign w:val="center"/>
          </w:tcPr>
          <w:p w14:paraId="051C3A84"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23 %</w:t>
            </w:r>
          </w:p>
        </w:tc>
      </w:tr>
      <w:tr w:rsidR="0060550A" w:rsidRPr="00B87AB6" w14:paraId="7D60FF84" w14:textId="77777777" w:rsidTr="009E2868">
        <w:trPr>
          <w:trHeight w:val="240"/>
        </w:trPr>
        <w:tc>
          <w:tcPr>
            <w:tcW w:w="3261" w:type="dxa"/>
            <w:shd w:val="clear" w:color="auto" w:fill="auto"/>
            <w:noWrap/>
            <w:vAlign w:val="center"/>
            <w:hideMark/>
          </w:tcPr>
          <w:p w14:paraId="6A3E2E93" w14:textId="77777777" w:rsidR="0060550A" w:rsidRDefault="0060550A" w:rsidP="00751D44">
            <w:pPr>
              <w:spacing w:before="40" w:after="40" w:line="240" w:lineRule="auto"/>
              <w:rPr>
                <w:rFonts w:ascii="Calibri" w:hAnsi="Calibri"/>
                <w:color w:val="000000"/>
                <w:sz w:val="18"/>
                <w:szCs w:val="18"/>
              </w:rPr>
            </w:pPr>
            <w:r>
              <w:rPr>
                <w:rFonts w:ascii="Calibri" w:hAnsi="Calibri"/>
                <w:color w:val="000000"/>
                <w:sz w:val="18"/>
                <w:szCs w:val="18"/>
              </w:rPr>
              <w:t>Arrangement</w:t>
            </w:r>
            <w:r w:rsidR="00FD5A6A">
              <w:rPr>
                <w:rFonts w:ascii="Calibri" w:hAnsi="Calibri"/>
                <w:color w:val="000000"/>
                <w:sz w:val="18"/>
                <w:szCs w:val="18"/>
              </w:rPr>
              <w:t>s</w:t>
            </w:r>
            <w:r>
              <w:rPr>
                <w:rFonts w:ascii="Calibri" w:hAnsi="Calibri"/>
                <w:color w:val="000000"/>
                <w:sz w:val="18"/>
                <w:szCs w:val="18"/>
              </w:rPr>
              <w:t xml:space="preserve">indtægter </w:t>
            </w:r>
            <w:r>
              <w:rPr>
                <w:rFonts w:ascii="Calibri" w:hAnsi="Calibri"/>
                <w:color w:val="000000"/>
                <w:sz w:val="18"/>
                <w:szCs w:val="18"/>
              </w:rPr>
              <w:br/>
              <w:t>(billetindtægter</w:t>
            </w:r>
            <w:r w:rsidR="00751D44">
              <w:rPr>
                <w:rFonts w:ascii="Calibri" w:hAnsi="Calibri"/>
                <w:color w:val="000000"/>
                <w:sz w:val="18"/>
                <w:szCs w:val="18"/>
              </w:rPr>
              <w:t>, formidlingstilskud, salg af forestillinger</w:t>
            </w:r>
            <w:r>
              <w:rPr>
                <w:rFonts w:ascii="Calibri" w:hAnsi="Calibri"/>
                <w:color w:val="000000"/>
                <w:sz w:val="18"/>
                <w:szCs w:val="18"/>
              </w:rPr>
              <w:t>)</w:t>
            </w:r>
          </w:p>
        </w:tc>
        <w:tc>
          <w:tcPr>
            <w:tcW w:w="1074" w:type="dxa"/>
            <w:shd w:val="clear" w:color="000000" w:fill="FFFFFF"/>
            <w:noWrap/>
            <w:vAlign w:val="center"/>
          </w:tcPr>
          <w:p w14:paraId="6E8DBDE7"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996.668</w:t>
            </w:r>
          </w:p>
        </w:tc>
        <w:tc>
          <w:tcPr>
            <w:tcW w:w="1075" w:type="dxa"/>
            <w:shd w:val="clear" w:color="000000" w:fill="FFFFFF"/>
            <w:noWrap/>
            <w:vAlign w:val="center"/>
          </w:tcPr>
          <w:p w14:paraId="4EBB3476" w14:textId="77777777" w:rsidR="0060550A" w:rsidRPr="0060550A" w:rsidRDefault="0060550A" w:rsidP="0060550A">
            <w:pPr>
              <w:spacing w:before="40" w:after="40" w:line="240" w:lineRule="auto"/>
              <w:jc w:val="right"/>
              <w:rPr>
                <w:rFonts w:ascii="Calibri" w:hAnsi="Calibri"/>
                <w:sz w:val="18"/>
                <w:szCs w:val="18"/>
              </w:rPr>
            </w:pPr>
            <w:r w:rsidRPr="0060550A">
              <w:rPr>
                <w:rFonts w:ascii="Calibri" w:hAnsi="Calibri"/>
                <w:sz w:val="18"/>
                <w:szCs w:val="18"/>
              </w:rPr>
              <w:t>11</w:t>
            </w:r>
            <w:r>
              <w:rPr>
                <w:rFonts w:ascii="Calibri" w:hAnsi="Calibri"/>
                <w:sz w:val="18"/>
                <w:szCs w:val="18"/>
              </w:rPr>
              <w:t xml:space="preserve"> </w:t>
            </w:r>
            <w:r w:rsidRPr="0060550A">
              <w:rPr>
                <w:rFonts w:ascii="Calibri" w:hAnsi="Calibri"/>
                <w:sz w:val="18"/>
                <w:szCs w:val="18"/>
              </w:rPr>
              <w:t>%</w:t>
            </w:r>
          </w:p>
        </w:tc>
        <w:tc>
          <w:tcPr>
            <w:tcW w:w="1074" w:type="dxa"/>
            <w:shd w:val="clear" w:color="000000" w:fill="FFFFFF"/>
            <w:noWrap/>
            <w:vAlign w:val="center"/>
          </w:tcPr>
          <w:p w14:paraId="7ED88248"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5.933.431</w:t>
            </w:r>
          </w:p>
        </w:tc>
        <w:tc>
          <w:tcPr>
            <w:tcW w:w="1075" w:type="dxa"/>
            <w:shd w:val="clear" w:color="auto" w:fill="auto"/>
            <w:noWrap/>
            <w:vAlign w:val="center"/>
          </w:tcPr>
          <w:p w14:paraId="530B082E" w14:textId="77777777" w:rsidR="0060550A" w:rsidRPr="0060550A" w:rsidRDefault="0060550A" w:rsidP="0060550A">
            <w:pPr>
              <w:spacing w:before="40" w:after="40" w:line="240" w:lineRule="auto"/>
              <w:jc w:val="right"/>
              <w:rPr>
                <w:rFonts w:ascii="Calibri" w:hAnsi="Calibri"/>
                <w:sz w:val="18"/>
                <w:szCs w:val="18"/>
              </w:rPr>
            </w:pPr>
            <w:r w:rsidRPr="0060550A">
              <w:rPr>
                <w:rFonts w:ascii="Calibri" w:hAnsi="Calibri"/>
                <w:sz w:val="18"/>
                <w:szCs w:val="18"/>
              </w:rPr>
              <w:t>38</w:t>
            </w:r>
            <w:r>
              <w:rPr>
                <w:rFonts w:ascii="Calibri" w:hAnsi="Calibri"/>
                <w:sz w:val="18"/>
                <w:szCs w:val="18"/>
              </w:rPr>
              <w:t xml:space="preserve"> </w:t>
            </w:r>
            <w:r w:rsidRPr="0060550A">
              <w:rPr>
                <w:rFonts w:ascii="Calibri" w:hAnsi="Calibri"/>
                <w:sz w:val="18"/>
                <w:szCs w:val="18"/>
              </w:rPr>
              <w:t>%</w:t>
            </w:r>
          </w:p>
        </w:tc>
        <w:tc>
          <w:tcPr>
            <w:tcW w:w="1074" w:type="dxa"/>
            <w:vAlign w:val="center"/>
          </w:tcPr>
          <w:p w14:paraId="6945A8A5"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2.812.186</w:t>
            </w:r>
          </w:p>
        </w:tc>
        <w:tc>
          <w:tcPr>
            <w:tcW w:w="1075" w:type="dxa"/>
            <w:vAlign w:val="center"/>
          </w:tcPr>
          <w:p w14:paraId="3063BD46" w14:textId="77777777" w:rsidR="0060550A" w:rsidRPr="0060550A" w:rsidRDefault="0060550A" w:rsidP="0060550A">
            <w:pPr>
              <w:spacing w:before="40" w:after="40" w:line="240" w:lineRule="auto"/>
              <w:jc w:val="right"/>
              <w:rPr>
                <w:rFonts w:ascii="Calibri" w:hAnsi="Calibri"/>
                <w:color w:val="000000"/>
                <w:sz w:val="18"/>
                <w:szCs w:val="18"/>
              </w:rPr>
            </w:pPr>
            <w:r w:rsidRPr="0060550A">
              <w:rPr>
                <w:rFonts w:ascii="Calibri" w:hAnsi="Calibri"/>
                <w:color w:val="000000"/>
                <w:sz w:val="18"/>
                <w:szCs w:val="18"/>
              </w:rPr>
              <w:t>23</w:t>
            </w:r>
            <w:r>
              <w:rPr>
                <w:rFonts w:ascii="Calibri" w:hAnsi="Calibri"/>
                <w:color w:val="000000"/>
                <w:sz w:val="18"/>
                <w:szCs w:val="18"/>
              </w:rPr>
              <w:t xml:space="preserve"> </w:t>
            </w:r>
            <w:r w:rsidRPr="0060550A">
              <w:rPr>
                <w:rFonts w:ascii="Calibri" w:hAnsi="Calibri"/>
                <w:color w:val="000000"/>
                <w:sz w:val="18"/>
                <w:szCs w:val="18"/>
              </w:rPr>
              <w:t>%</w:t>
            </w:r>
          </w:p>
        </w:tc>
      </w:tr>
      <w:tr w:rsidR="0060550A" w:rsidRPr="00B87AB6" w14:paraId="1FA22DD8" w14:textId="77777777" w:rsidTr="009E2868">
        <w:trPr>
          <w:trHeight w:val="240"/>
        </w:trPr>
        <w:tc>
          <w:tcPr>
            <w:tcW w:w="3261" w:type="dxa"/>
            <w:tcBorders>
              <w:top w:val="double" w:sz="4" w:space="0" w:color="403152" w:themeColor="accent3"/>
            </w:tcBorders>
            <w:shd w:val="clear" w:color="auto" w:fill="F2F2F2" w:themeFill="background1" w:themeFillShade="F2"/>
            <w:noWrap/>
            <w:hideMark/>
          </w:tcPr>
          <w:p w14:paraId="0D376A09" w14:textId="77777777" w:rsidR="0060550A" w:rsidRPr="00B87AB6" w:rsidRDefault="0060550A" w:rsidP="0060550A">
            <w:pPr>
              <w:spacing w:before="40" w:after="40" w:line="240" w:lineRule="auto"/>
              <w:rPr>
                <w:rFonts w:ascii="Calibri" w:eastAsia="Times New Roman" w:hAnsi="Calibri" w:cs="Times New Roman"/>
                <w:b/>
                <w:bCs/>
                <w:color w:val="000000"/>
                <w:sz w:val="18"/>
                <w:szCs w:val="18"/>
                <w:lang w:eastAsia="da-DK"/>
              </w:rPr>
            </w:pPr>
            <w:r w:rsidRPr="00B87AB6">
              <w:rPr>
                <w:rFonts w:ascii="Calibri" w:eastAsia="Times New Roman" w:hAnsi="Calibri" w:cs="Times New Roman"/>
                <w:b/>
                <w:bCs/>
                <w:color w:val="000000"/>
                <w:sz w:val="18"/>
                <w:szCs w:val="18"/>
                <w:lang w:eastAsia="da-DK"/>
              </w:rPr>
              <w:lastRenderedPageBreak/>
              <w:t>Driftstilskud i alt</w:t>
            </w:r>
          </w:p>
        </w:tc>
        <w:tc>
          <w:tcPr>
            <w:tcW w:w="1074" w:type="dxa"/>
            <w:tcBorders>
              <w:top w:val="double" w:sz="4" w:space="0" w:color="403152" w:themeColor="accent3"/>
            </w:tcBorders>
            <w:shd w:val="clear" w:color="auto" w:fill="F2F2F2" w:themeFill="background1" w:themeFillShade="F2"/>
            <w:noWrap/>
            <w:vAlign w:val="center"/>
          </w:tcPr>
          <w:p w14:paraId="21EB9125"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8.256.525</w:t>
            </w:r>
          </w:p>
        </w:tc>
        <w:tc>
          <w:tcPr>
            <w:tcW w:w="1075" w:type="dxa"/>
            <w:tcBorders>
              <w:top w:val="double" w:sz="4" w:space="0" w:color="403152" w:themeColor="accent3"/>
            </w:tcBorders>
            <w:shd w:val="clear" w:color="auto" w:fill="F2F2F2" w:themeFill="background1" w:themeFillShade="F2"/>
            <w:noWrap/>
            <w:vAlign w:val="center"/>
          </w:tcPr>
          <w:p w14:paraId="652C02EB"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89 %</w:t>
            </w:r>
          </w:p>
        </w:tc>
        <w:tc>
          <w:tcPr>
            <w:tcW w:w="1074" w:type="dxa"/>
            <w:tcBorders>
              <w:top w:val="double" w:sz="4" w:space="0" w:color="403152" w:themeColor="accent3"/>
            </w:tcBorders>
            <w:shd w:val="clear" w:color="auto" w:fill="F2F2F2" w:themeFill="background1" w:themeFillShade="F2"/>
            <w:noWrap/>
            <w:vAlign w:val="center"/>
          </w:tcPr>
          <w:p w14:paraId="6478E057"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9.500.000</w:t>
            </w:r>
          </w:p>
        </w:tc>
        <w:tc>
          <w:tcPr>
            <w:tcW w:w="1075" w:type="dxa"/>
            <w:tcBorders>
              <w:top w:val="double" w:sz="4" w:space="0" w:color="403152" w:themeColor="accent3"/>
            </w:tcBorders>
            <w:shd w:val="clear" w:color="auto" w:fill="F2F2F2" w:themeFill="background1" w:themeFillShade="F2"/>
            <w:noWrap/>
            <w:vAlign w:val="center"/>
          </w:tcPr>
          <w:p w14:paraId="0C4343D3"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62 %</w:t>
            </w:r>
          </w:p>
        </w:tc>
        <w:tc>
          <w:tcPr>
            <w:tcW w:w="1074" w:type="dxa"/>
            <w:tcBorders>
              <w:top w:val="double" w:sz="4" w:space="0" w:color="403152" w:themeColor="accent3"/>
            </w:tcBorders>
            <w:shd w:val="clear" w:color="auto" w:fill="F2F2F2" w:themeFill="background1" w:themeFillShade="F2"/>
            <w:vAlign w:val="center"/>
          </w:tcPr>
          <w:p w14:paraId="0B8D9D71"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9.500.000</w:t>
            </w:r>
          </w:p>
        </w:tc>
        <w:tc>
          <w:tcPr>
            <w:tcW w:w="1075" w:type="dxa"/>
            <w:tcBorders>
              <w:top w:val="double" w:sz="4" w:space="0" w:color="403152" w:themeColor="accent3"/>
            </w:tcBorders>
            <w:shd w:val="clear" w:color="auto" w:fill="F2F2F2" w:themeFill="background1" w:themeFillShade="F2"/>
            <w:vAlign w:val="center"/>
          </w:tcPr>
          <w:p w14:paraId="52DDBCD6"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77 %</w:t>
            </w:r>
          </w:p>
        </w:tc>
      </w:tr>
      <w:tr w:rsidR="0060550A" w:rsidRPr="00B87AB6" w14:paraId="3095BF6A" w14:textId="77777777" w:rsidTr="009E2868">
        <w:trPr>
          <w:trHeight w:val="240"/>
        </w:trPr>
        <w:tc>
          <w:tcPr>
            <w:tcW w:w="3261" w:type="dxa"/>
            <w:shd w:val="clear" w:color="auto" w:fill="auto"/>
            <w:noWrap/>
            <w:hideMark/>
          </w:tcPr>
          <w:p w14:paraId="2BC5719D" w14:textId="77777777" w:rsidR="0060550A" w:rsidRPr="00B87AB6" w:rsidRDefault="0060550A" w:rsidP="0060550A">
            <w:pPr>
              <w:spacing w:before="40" w:after="40" w:line="240" w:lineRule="auto"/>
              <w:rPr>
                <w:rFonts w:ascii="Calibri" w:eastAsia="Times New Roman" w:hAnsi="Calibri" w:cs="Times New Roman"/>
                <w:color w:val="000000"/>
                <w:sz w:val="18"/>
                <w:szCs w:val="18"/>
                <w:lang w:eastAsia="da-DK"/>
              </w:rPr>
            </w:pPr>
            <w:r>
              <w:rPr>
                <w:rFonts w:ascii="Calibri" w:eastAsia="Times New Roman" w:hAnsi="Calibri" w:cs="Times New Roman"/>
                <w:color w:val="000000"/>
                <w:sz w:val="18"/>
                <w:szCs w:val="18"/>
                <w:lang w:eastAsia="da-DK"/>
              </w:rPr>
              <w:t>Holstebro Kommune</w:t>
            </w:r>
          </w:p>
        </w:tc>
        <w:tc>
          <w:tcPr>
            <w:tcW w:w="1074" w:type="dxa"/>
            <w:shd w:val="clear" w:color="000000" w:fill="FFFFFF"/>
            <w:noWrap/>
            <w:vAlign w:val="center"/>
          </w:tcPr>
          <w:p w14:paraId="50A46C13"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8.256.525</w:t>
            </w:r>
          </w:p>
        </w:tc>
        <w:tc>
          <w:tcPr>
            <w:tcW w:w="1075" w:type="dxa"/>
            <w:shd w:val="clear" w:color="000000" w:fill="FFFFFF"/>
            <w:noWrap/>
            <w:vAlign w:val="center"/>
          </w:tcPr>
          <w:p w14:paraId="4ED2FF26" w14:textId="77777777" w:rsidR="0060550A" w:rsidRPr="0060550A" w:rsidRDefault="0060550A" w:rsidP="0060550A">
            <w:pPr>
              <w:spacing w:before="40" w:after="40" w:line="240" w:lineRule="auto"/>
              <w:jc w:val="right"/>
              <w:rPr>
                <w:rFonts w:ascii="Calibri" w:hAnsi="Calibri"/>
                <w:color w:val="000000"/>
                <w:sz w:val="18"/>
                <w:szCs w:val="18"/>
              </w:rPr>
            </w:pPr>
            <w:r w:rsidRPr="0060550A">
              <w:rPr>
                <w:rFonts w:ascii="Calibri" w:hAnsi="Calibri"/>
                <w:color w:val="000000"/>
                <w:sz w:val="18"/>
                <w:szCs w:val="18"/>
              </w:rPr>
              <w:t>89</w:t>
            </w:r>
            <w:r>
              <w:rPr>
                <w:rFonts w:ascii="Calibri" w:hAnsi="Calibri"/>
                <w:color w:val="000000"/>
                <w:sz w:val="18"/>
                <w:szCs w:val="18"/>
              </w:rPr>
              <w:t xml:space="preserve"> </w:t>
            </w:r>
            <w:r w:rsidRPr="0060550A">
              <w:rPr>
                <w:rFonts w:ascii="Calibri" w:hAnsi="Calibri"/>
                <w:color w:val="000000"/>
                <w:sz w:val="18"/>
                <w:szCs w:val="18"/>
              </w:rPr>
              <w:t>%</w:t>
            </w:r>
          </w:p>
        </w:tc>
        <w:tc>
          <w:tcPr>
            <w:tcW w:w="1074" w:type="dxa"/>
            <w:shd w:val="clear" w:color="000000" w:fill="FFFFFF"/>
            <w:noWrap/>
            <w:vAlign w:val="center"/>
          </w:tcPr>
          <w:p w14:paraId="0F934460"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9.500.000</w:t>
            </w:r>
          </w:p>
        </w:tc>
        <w:tc>
          <w:tcPr>
            <w:tcW w:w="1075" w:type="dxa"/>
            <w:shd w:val="clear" w:color="auto" w:fill="auto"/>
            <w:noWrap/>
            <w:vAlign w:val="center"/>
          </w:tcPr>
          <w:p w14:paraId="1FB2DC1C" w14:textId="77777777" w:rsidR="0060550A" w:rsidRPr="0060550A" w:rsidRDefault="0060550A" w:rsidP="0060550A">
            <w:pPr>
              <w:spacing w:before="40" w:after="40" w:line="240" w:lineRule="auto"/>
              <w:jc w:val="right"/>
              <w:rPr>
                <w:rFonts w:ascii="Calibri" w:hAnsi="Calibri"/>
                <w:color w:val="000000"/>
                <w:sz w:val="18"/>
                <w:szCs w:val="18"/>
              </w:rPr>
            </w:pPr>
            <w:r w:rsidRPr="0060550A">
              <w:rPr>
                <w:rFonts w:ascii="Calibri" w:hAnsi="Calibri"/>
                <w:color w:val="000000"/>
                <w:sz w:val="18"/>
                <w:szCs w:val="18"/>
              </w:rPr>
              <w:t>62</w:t>
            </w:r>
            <w:r>
              <w:rPr>
                <w:rFonts w:ascii="Calibri" w:hAnsi="Calibri"/>
                <w:color w:val="000000"/>
                <w:sz w:val="18"/>
                <w:szCs w:val="18"/>
              </w:rPr>
              <w:t xml:space="preserve"> </w:t>
            </w:r>
            <w:r w:rsidRPr="0060550A">
              <w:rPr>
                <w:rFonts w:ascii="Calibri" w:hAnsi="Calibri"/>
                <w:color w:val="000000"/>
                <w:sz w:val="18"/>
                <w:szCs w:val="18"/>
              </w:rPr>
              <w:t>%</w:t>
            </w:r>
          </w:p>
        </w:tc>
        <w:tc>
          <w:tcPr>
            <w:tcW w:w="1074" w:type="dxa"/>
            <w:vAlign w:val="center"/>
          </w:tcPr>
          <w:p w14:paraId="2BB2F1B8"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9.500.000</w:t>
            </w:r>
          </w:p>
        </w:tc>
        <w:tc>
          <w:tcPr>
            <w:tcW w:w="1075" w:type="dxa"/>
            <w:vAlign w:val="center"/>
          </w:tcPr>
          <w:p w14:paraId="0AEFE7A1" w14:textId="77777777" w:rsidR="0060550A" w:rsidRPr="0060550A" w:rsidRDefault="0060550A" w:rsidP="0060550A">
            <w:pPr>
              <w:spacing w:before="40" w:after="40" w:line="240" w:lineRule="auto"/>
              <w:jc w:val="right"/>
              <w:rPr>
                <w:rFonts w:ascii="Calibri" w:hAnsi="Calibri"/>
                <w:color w:val="000000"/>
                <w:sz w:val="18"/>
                <w:szCs w:val="18"/>
              </w:rPr>
            </w:pPr>
            <w:r w:rsidRPr="0060550A">
              <w:rPr>
                <w:rFonts w:ascii="Calibri" w:hAnsi="Calibri"/>
                <w:color w:val="000000"/>
                <w:sz w:val="18"/>
                <w:szCs w:val="18"/>
              </w:rPr>
              <w:t>77</w:t>
            </w:r>
            <w:r>
              <w:rPr>
                <w:rFonts w:ascii="Calibri" w:hAnsi="Calibri"/>
                <w:color w:val="000000"/>
                <w:sz w:val="18"/>
                <w:szCs w:val="18"/>
              </w:rPr>
              <w:t xml:space="preserve"> </w:t>
            </w:r>
            <w:r w:rsidRPr="0060550A">
              <w:rPr>
                <w:rFonts w:ascii="Calibri" w:hAnsi="Calibri"/>
                <w:color w:val="000000"/>
                <w:sz w:val="18"/>
                <w:szCs w:val="18"/>
              </w:rPr>
              <w:t>%</w:t>
            </w:r>
          </w:p>
        </w:tc>
      </w:tr>
      <w:tr w:rsidR="0060550A" w:rsidRPr="00B87AB6" w14:paraId="036EA2C7" w14:textId="77777777" w:rsidTr="009E2868">
        <w:trPr>
          <w:trHeight w:val="270"/>
        </w:trPr>
        <w:tc>
          <w:tcPr>
            <w:tcW w:w="3261" w:type="dxa"/>
            <w:tcBorders>
              <w:top w:val="double" w:sz="4" w:space="0" w:color="403152" w:themeColor="accent3"/>
            </w:tcBorders>
            <w:shd w:val="clear" w:color="auto" w:fill="F2F2F2" w:themeFill="background1" w:themeFillShade="F2"/>
            <w:noWrap/>
            <w:hideMark/>
          </w:tcPr>
          <w:p w14:paraId="7BDD1A9F" w14:textId="77777777" w:rsidR="0060550A" w:rsidRPr="00B87AB6" w:rsidRDefault="0060550A" w:rsidP="0060550A">
            <w:pPr>
              <w:spacing w:before="40" w:after="40" w:line="240" w:lineRule="auto"/>
              <w:rPr>
                <w:rFonts w:ascii="Calibri" w:eastAsia="Times New Roman" w:hAnsi="Calibri" w:cs="Times New Roman"/>
                <w:b/>
                <w:bCs/>
                <w:color w:val="000000"/>
                <w:sz w:val="18"/>
                <w:szCs w:val="18"/>
                <w:lang w:eastAsia="da-DK"/>
              </w:rPr>
            </w:pPr>
            <w:r w:rsidRPr="00B87AB6">
              <w:rPr>
                <w:rFonts w:ascii="Calibri" w:eastAsia="Times New Roman" w:hAnsi="Calibri" w:cs="Times New Roman"/>
                <w:b/>
                <w:bCs/>
                <w:color w:val="000000"/>
                <w:sz w:val="18"/>
                <w:szCs w:val="18"/>
                <w:lang w:eastAsia="da-DK"/>
              </w:rPr>
              <w:t>Omsætning i alt</w:t>
            </w:r>
          </w:p>
        </w:tc>
        <w:tc>
          <w:tcPr>
            <w:tcW w:w="1074" w:type="dxa"/>
            <w:tcBorders>
              <w:top w:val="double" w:sz="4" w:space="0" w:color="403152" w:themeColor="accent3"/>
            </w:tcBorders>
            <w:shd w:val="clear" w:color="auto" w:fill="F2F2F2" w:themeFill="background1" w:themeFillShade="F2"/>
            <w:noWrap/>
            <w:vAlign w:val="center"/>
          </w:tcPr>
          <w:p w14:paraId="6C535326" w14:textId="77777777" w:rsidR="0060550A" w:rsidRDefault="0060550A" w:rsidP="0060550A">
            <w:pPr>
              <w:spacing w:before="40" w:after="40" w:line="240" w:lineRule="auto"/>
              <w:jc w:val="right"/>
              <w:rPr>
                <w:rFonts w:ascii="Calibri" w:hAnsi="Calibri"/>
                <w:b/>
                <w:bCs/>
                <w:sz w:val="18"/>
                <w:szCs w:val="18"/>
              </w:rPr>
            </w:pPr>
            <w:r>
              <w:rPr>
                <w:rFonts w:ascii="Calibri" w:hAnsi="Calibri"/>
                <w:b/>
                <w:bCs/>
                <w:sz w:val="18"/>
                <w:szCs w:val="18"/>
              </w:rPr>
              <w:t>9.253.193</w:t>
            </w:r>
          </w:p>
        </w:tc>
        <w:tc>
          <w:tcPr>
            <w:tcW w:w="1075" w:type="dxa"/>
            <w:tcBorders>
              <w:top w:val="double" w:sz="4" w:space="0" w:color="403152" w:themeColor="accent3"/>
            </w:tcBorders>
            <w:shd w:val="clear" w:color="auto" w:fill="F2F2F2" w:themeFill="background1" w:themeFillShade="F2"/>
            <w:noWrap/>
            <w:vAlign w:val="center"/>
          </w:tcPr>
          <w:p w14:paraId="53A9CFB7"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100 %</w:t>
            </w:r>
          </w:p>
        </w:tc>
        <w:tc>
          <w:tcPr>
            <w:tcW w:w="1074" w:type="dxa"/>
            <w:tcBorders>
              <w:top w:val="double" w:sz="4" w:space="0" w:color="403152" w:themeColor="accent3"/>
            </w:tcBorders>
            <w:shd w:val="clear" w:color="auto" w:fill="F2F2F2" w:themeFill="background1" w:themeFillShade="F2"/>
            <w:noWrap/>
            <w:vAlign w:val="center"/>
          </w:tcPr>
          <w:p w14:paraId="34928383"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15.433.431</w:t>
            </w:r>
          </w:p>
        </w:tc>
        <w:tc>
          <w:tcPr>
            <w:tcW w:w="1075" w:type="dxa"/>
            <w:tcBorders>
              <w:top w:val="double" w:sz="4" w:space="0" w:color="403152" w:themeColor="accent3"/>
            </w:tcBorders>
            <w:shd w:val="clear" w:color="auto" w:fill="F2F2F2" w:themeFill="background1" w:themeFillShade="F2"/>
            <w:noWrap/>
            <w:vAlign w:val="center"/>
          </w:tcPr>
          <w:p w14:paraId="73CBFEDF"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100 %</w:t>
            </w:r>
          </w:p>
        </w:tc>
        <w:tc>
          <w:tcPr>
            <w:tcW w:w="1074" w:type="dxa"/>
            <w:tcBorders>
              <w:top w:val="double" w:sz="4" w:space="0" w:color="403152" w:themeColor="accent3"/>
            </w:tcBorders>
            <w:shd w:val="clear" w:color="auto" w:fill="F2F2F2" w:themeFill="background1" w:themeFillShade="F2"/>
            <w:vAlign w:val="center"/>
          </w:tcPr>
          <w:p w14:paraId="73FD9962"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12.312.186</w:t>
            </w:r>
          </w:p>
        </w:tc>
        <w:tc>
          <w:tcPr>
            <w:tcW w:w="1075" w:type="dxa"/>
            <w:tcBorders>
              <w:top w:val="double" w:sz="4" w:space="0" w:color="403152" w:themeColor="accent3"/>
            </w:tcBorders>
            <w:shd w:val="clear" w:color="auto" w:fill="F2F2F2" w:themeFill="background1" w:themeFillShade="F2"/>
            <w:vAlign w:val="center"/>
          </w:tcPr>
          <w:p w14:paraId="62F245DA" w14:textId="77777777" w:rsidR="0060550A" w:rsidRDefault="0060550A" w:rsidP="0060550A">
            <w:pPr>
              <w:spacing w:before="40" w:after="40" w:line="240" w:lineRule="auto"/>
              <w:jc w:val="right"/>
              <w:rPr>
                <w:rFonts w:ascii="Calibri" w:hAnsi="Calibri"/>
                <w:b/>
                <w:bCs/>
                <w:color w:val="000000"/>
                <w:sz w:val="18"/>
                <w:szCs w:val="18"/>
              </w:rPr>
            </w:pPr>
            <w:r>
              <w:rPr>
                <w:rFonts w:ascii="Calibri" w:hAnsi="Calibri"/>
                <w:b/>
                <w:bCs/>
                <w:color w:val="000000"/>
                <w:sz w:val="18"/>
                <w:szCs w:val="18"/>
              </w:rPr>
              <w:t>100 %</w:t>
            </w:r>
          </w:p>
        </w:tc>
      </w:tr>
    </w:tbl>
    <w:p w14:paraId="466752F5" w14:textId="77777777" w:rsidR="0060550A" w:rsidRDefault="0060550A" w:rsidP="0060550A"/>
    <w:p w14:paraId="04E6505B" w14:textId="77777777" w:rsidR="00B87AB6" w:rsidRDefault="00B87AB6" w:rsidP="00B87AB6">
      <w:pPr>
        <w:pStyle w:val="Billedtekst"/>
      </w:pPr>
      <w:r>
        <w:t xml:space="preserve">Tabel </w:t>
      </w:r>
      <w:r w:rsidR="00877FAB">
        <w:fldChar w:fldCharType="begin"/>
      </w:r>
      <w:r w:rsidR="00877FAB">
        <w:instrText xml:space="preserve"> SEQ Tabel \* ARABIC </w:instrText>
      </w:r>
      <w:r w:rsidR="00877FAB">
        <w:fldChar w:fldCharType="separate"/>
      </w:r>
      <w:r w:rsidR="0025703B">
        <w:rPr>
          <w:noProof/>
        </w:rPr>
        <w:t>2</w:t>
      </w:r>
      <w:r w:rsidR="00877FAB">
        <w:rPr>
          <w:noProof/>
        </w:rPr>
        <w:fldChar w:fldCharType="end"/>
      </w:r>
      <w:r>
        <w:t>: Omkostningsfordeling i kr. og procent af samlet beløb</w:t>
      </w:r>
    </w:p>
    <w:tbl>
      <w:tblPr>
        <w:tblW w:w="9708" w:type="dxa"/>
        <w:tblInd w:w="70" w:type="dxa"/>
        <w:tblBorders>
          <w:top w:val="single" w:sz="4" w:space="0" w:color="403152" w:themeColor="accent3"/>
          <w:left w:val="single" w:sz="4" w:space="0" w:color="403152" w:themeColor="accent3"/>
          <w:bottom w:val="single" w:sz="4" w:space="0" w:color="403152" w:themeColor="accent3"/>
          <w:right w:val="single" w:sz="4" w:space="0" w:color="403152" w:themeColor="accent3"/>
          <w:insideH w:val="single" w:sz="4" w:space="0" w:color="403152" w:themeColor="accent3"/>
          <w:insideV w:val="single" w:sz="4" w:space="0" w:color="403152" w:themeColor="accent3"/>
        </w:tblBorders>
        <w:tblLayout w:type="fixed"/>
        <w:tblCellMar>
          <w:left w:w="70" w:type="dxa"/>
          <w:right w:w="70" w:type="dxa"/>
        </w:tblCellMar>
        <w:tblLook w:val="04A0" w:firstRow="1" w:lastRow="0" w:firstColumn="1" w:lastColumn="0" w:noHBand="0" w:noVBand="1"/>
      </w:tblPr>
      <w:tblGrid>
        <w:gridCol w:w="3261"/>
        <w:gridCol w:w="1074"/>
        <w:gridCol w:w="1075"/>
        <w:gridCol w:w="1074"/>
        <w:gridCol w:w="1075"/>
        <w:gridCol w:w="1074"/>
        <w:gridCol w:w="1075"/>
      </w:tblGrid>
      <w:tr w:rsidR="0060550A" w:rsidRPr="00D14224" w14:paraId="49DA7A92" w14:textId="77777777" w:rsidTr="009E2868">
        <w:trPr>
          <w:trHeight w:val="255"/>
        </w:trPr>
        <w:tc>
          <w:tcPr>
            <w:tcW w:w="3261" w:type="dxa"/>
            <w:shd w:val="clear" w:color="auto" w:fill="auto"/>
            <w:noWrap/>
            <w:hideMark/>
          </w:tcPr>
          <w:p w14:paraId="12A57440" w14:textId="77777777" w:rsidR="0060550A" w:rsidRPr="00D14224" w:rsidRDefault="0060550A" w:rsidP="0060550A">
            <w:pPr>
              <w:spacing w:before="40" w:after="40" w:line="240" w:lineRule="auto"/>
              <w:rPr>
                <w:rFonts w:ascii="Calibri" w:eastAsia="Times New Roman" w:hAnsi="Calibri" w:cs="Times New Roman"/>
                <w:color w:val="000000"/>
                <w:sz w:val="18"/>
                <w:szCs w:val="18"/>
                <w:lang w:eastAsia="da-DK"/>
              </w:rPr>
            </w:pPr>
            <w:r w:rsidRPr="00D14224">
              <w:rPr>
                <w:rFonts w:ascii="Calibri" w:eastAsia="Times New Roman" w:hAnsi="Calibri" w:cs="Times New Roman"/>
                <w:color w:val="000000"/>
                <w:sz w:val="18"/>
                <w:szCs w:val="18"/>
                <w:lang w:eastAsia="da-DK"/>
              </w:rPr>
              <w:t> </w:t>
            </w:r>
          </w:p>
        </w:tc>
        <w:tc>
          <w:tcPr>
            <w:tcW w:w="1074" w:type="dxa"/>
            <w:shd w:val="clear" w:color="auto" w:fill="403152" w:themeFill="accent3"/>
            <w:noWrap/>
            <w:hideMark/>
          </w:tcPr>
          <w:p w14:paraId="70696FC6"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3</w:t>
            </w:r>
            <w:r w:rsidRPr="00D14224">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noWrap/>
            <w:hideMark/>
          </w:tcPr>
          <w:p w14:paraId="17F1E56F"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3</w:t>
            </w:r>
            <w:r w:rsidRPr="00D14224">
              <w:rPr>
                <w:rFonts w:ascii="Calibri" w:eastAsia="Times New Roman" w:hAnsi="Calibri" w:cs="Times New Roman"/>
                <w:b/>
                <w:bCs/>
                <w:color w:val="FFFFFF" w:themeColor="background1"/>
                <w:sz w:val="18"/>
                <w:szCs w:val="18"/>
                <w:lang w:eastAsia="da-DK"/>
              </w:rPr>
              <w:br/>
              <w:t>%</w:t>
            </w:r>
          </w:p>
        </w:tc>
        <w:tc>
          <w:tcPr>
            <w:tcW w:w="1074" w:type="dxa"/>
            <w:shd w:val="clear" w:color="auto" w:fill="403152" w:themeFill="accent3"/>
            <w:noWrap/>
            <w:hideMark/>
          </w:tcPr>
          <w:p w14:paraId="35FB9962"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4</w:t>
            </w:r>
            <w:r w:rsidRPr="00D14224">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noWrap/>
            <w:hideMark/>
          </w:tcPr>
          <w:p w14:paraId="10381813"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4</w:t>
            </w:r>
            <w:r w:rsidRPr="00D14224">
              <w:rPr>
                <w:rFonts w:ascii="Calibri" w:eastAsia="Times New Roman" w:hAnsi="Calibri" w:cs="Times New Roman"/>
                <w:b/>
                <w:bCs/>
                <w:color w:val="FFFFFF" w:themeColor="background1"/>
                <w:sz w:val="18"/>
                <w:szCs w:val="18"/>
                <w:lang w:eastAsia="da-DK"/>
              </w:rPr>
              <w:br/>
              <w:t>%</w:t>
            </w:r>
          </w:p>
        </w:tc>
        <w:tc>
          <w:tcPr>
            <w:tcW w:w="1074" w:type="dxa"/>
            <w:shd w:val="clear" w:color="auto" w:fill="403152" w:themeFill="accent3"/>
          </w:tcPr>
          <w:p w14:paraId="530051B7"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5</w:t>
            </w:r>
            <w:r w:rsidRPr="00D14224">
              <w:rPr>
                <w:rFonts w:ascii="Calibri" w:eastAsia="Times New Roman" w:hAnsi="Calibri" w:cs="Times New Roman"/>
                <w:b/>
                <w:bCs/>
                <w:color w:val="FFFFFF" w:themeColor="background1"/>
                <w:sz w:val="18"/>
                <w:szCs w:val="18"/>
                <w:lang w:eastAsia="da-DK"/>
              </w:rPr>
              <w:br/>
              <w:t>kr.</w:t>
            </w:r>
          </w:p>
        </w:tc>
        <w:tc>
          <w:tcPr>
            <w:tcW w:w="1075" w:type="dxa"/>
            <w:shd w:val="clear" w:color="auto" w:fill="403152" w:themeFill="accent3"/>
          </w:tcPr>
          <w:p w14:paraId="4E4BB7E4" w14:textId="77777777" w:rsidR="0060550A" w:rsidRPr="00D14224" w:rsidRDefault="0060550A" w:rsidP="0060550A">
            <w:pPr>
              <w:spacing w:before="40" w:after="40" w:line="240" w:lineRule="auto"/>
              <w:jc w:val="center"/>
              <w:rPr>
                <w:rFonts w:ascii="Calibri" w:eastAsia="Times New Roman" w:hAnsi="Calibri" w:cs="Times New Roman"/>
                <w:b/>
                <w:bCs/>
                <w:color w:val="FFFFFF" w:themeColor="background1"/>
                <w:sz w:val="18"/>
                <w:szCs w:val="18"/>
                <w:lang w:eastAsia="da-DK"/>
              </w:rPr>
            </w:pPr>
            <w:r w:rsidRPr="00D14224">
              <w:rPr>
                <w:rFonts w:ascii="Calibri" w:eastAsia="Times New Roman" w:hAnsi="Calibri" w:cs="Times New Roman"/>
                <w:b/>
                <w:bCs/>
                <w:color w:val="FFFFFF" w:themeColor="background1"/>
                <w:sz w:val="18"/>
                <w:szCs w:val="18"/>
                <w:lang w:eastAsia="da-DK"/>
              </w:rPr>
              <w:t>201</w:t>
            </w:r>
            <w:r>
              <w:rPr>
                <w:rFonts w:ascii="Calibri" w:eastAsia="Times New Roman" w:hAnsi="Calibri" w:cs="Times New Roman"/>
                <w:b/>
                <w:bCs/>
                <w:color w:val="FFFFFF" w:themeColor="background1"/>
                <w:sz w:val="18"/>
                <w:szCs w:val="18"/>
                <w:lang w:eastAsia="da-DK"/>
              </w:rPr>
              <w:t>5</w:t>
            </w:r>
            <w:r w:rsidRPr="00D14224">
              <w:rPr>
                <w:rFonts w:ascii="Calibri" w:eastAsia="Times New Roman" w:hAnsi="Calibri" w:cs="Times New Roman"/>
                <w:b/>
                <w:bCs/>
                <w:color w:val="FFFFFF" w:themeColor="background1"/>
                <w:sz w:val="18"/>
                <w:szCs w:val="18"/>
                <w:lang w:eastAsia="da-DK"/>
              </w:rPr>
              <w:br/>
              <w:t>%</w:t>
            </w:r>
          </w:p>
        </w:tc>
      </w:tr>
      <w:tr w:rsidR="0060550A" w:rsidRPr="00D14224" w14:paraId="5AF34CB7" w14:textId="77777777" w:rsidTr="009E2868">
        <w:trPr>
          <w:trHeight w:val="240"/>
        </w:trPr>
        <w:tc>
          <w:tcPr>
            <w:tcW w:w="3261" w:type="dxa"/>
            <w:shd w:val="clear" w:color="auto" w:fill="auto"/>
            <w:noWrap/>
            <w:vAlign w:val="center"/>
            <w:hideMark/>
          </w:tcPr>
          <w:p w14:paraId="5D9D1D96" w14:textId="77777777" w:rsidR="0060550A" w:rsidRPr="0060550A" w:rsidRDefault="0060550A" w:rsidP="0060550A">
            <w:pPr>
              <w:spacing w:before="40" w:after="40" w:line="240" w:lineRule="auto"/>
              <w:rPr>
                <w:rFonts w:ascii="Calibri" w:hAnsi="Calibri"/>
                <w:color w:val="000000"/>
                <w:sz w:val="18"/>
                <w:szCs w:val="18"/>
              </w:rPr>
            </w:pPr>
            <w:r w:rsidRPr="0060550A">
              <w:rPr>
                <w:rFonts w:ascii="Calibri" w:hAnsi="Calibri"/>
                <w:color w:val="000000"/>
                <w:sz w:val="18"/>
                <w:szCs w:val="18"/>
              </w:rPr>
              <w:t>Husleje/lokaleomkostninger</w:t>
            </w:r>
          </w:p>
        </w:tc>
        <w:tc>
          <w:tcPr>
            <w:tcW w:w="1074" w:type="dxa"/>
            <w:shd w:val="clear" w:color="000000" w:fill="FFFFFF"/>
            <w:noWrap/>
            <w:vAlign w:val="center"/>
          </w:tcPr>
          <w:p w14:paraId="6F84E891"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1.425.000</w:t>
            </w:r>
          </w:p>
        </w:tc>
        <w:tc>
          <w:tcPr>
            <w:tcW w:w="1075" w:type="dxa"/>
            <w:shd w:val="clear" w:color="000000" w:fill="FFFFFF"/>
            <w:noWrap/>
            <w:vAlign w:val="center"/>
          </w:tcPr>
          <w:p w14:paraId="58DB0427"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15</w:t>
            </w:r>
            <w:r>
              <w:rPr>
                <w:rFonts w:ascii="Calibri" w:hAnsi="Calibri"/>
                <w:bCs/>
                <w:color w:val="000000"/>
                <w:sz w:val="18"/>
                <w:szCs w:val="18"/>
              </w:rPr>
              <w:t xml:space="preserve"> </w:t>
            </w:r>
            <w:r w:rsidRPr="0060550A">
              <w:rPr>
                <w:rFonts w:ascii="Calibri" w:hAnsi="Calibri"/>
                <w:bCs/>
                <w:color w:val="000000"/>
                <w:sz w:val="18"/>
                <w:szCs w:val="18"/>
              </w:rPr>
              <w:t>%</w:t>
            </w:r>
          </w:p>
        </w:tc>
        <w:tc>
          <w:tcPr>
            <w:tcW w:w="1074" w:type="dxa"/>
            <w:shd w:val="clear" w:color="000000" w:fill="FFFFFF"/>
            <w:noWrap/>
            <w:vAlign w:val="center"/>
          </w:tcPr>
          <w:p w14:paraId="653B2136"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1.431.000</w:t>
            </w:r>
          </w:p>
        </w:tc>
        <w:tc>
          <w:tcPr>
            <w:tcW w:w="1075" w:type="dxa"/>
            <w:shd w:val="clear" w:color="auto" w:fill="auto"/>
            <w:noWrap/>
            <w:vAlign w:val="center"/>
          </w:tcPr>
          <w:p w14:paraId="2875F4AD"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9</w:t>
            </w:r>
            <w:r>
              <w:rPr>
                <w:rFonts w:ascii="Calibri" w:hAnsi="Calibri"/>
                <w:bCs/>
                <w:color w:val="000000"/>
                <w:sz w:val="18"/>
                <w:szCs w:val="18"/>
              </w:rPr>
              <w:t xml:space="preserve"> </w:t>
            </w:r>
            <w:r w:rsidRPr="0060550A">
              <w:rPr>
                <w:rFonts w:ascii="Calibri" w:hAnsi="Calibri"/>
                <w:bCs/>
                <w:color w:val="000000"/>
                <w:sz w:val="18"/>
                <w:szCs w:val="18"/>
              </w:rPr>
              <w:t>%</w:t>
            </w:r>
          </w:p>
        </w:tc>
        <w:tc>
          <w:tcPr>
            <w:tcW w:w="1074" w:type="dxa"/>
            <w:vAlign w:val="center"/>
          </w:tcPr>
          <w:p w14:paraId="50386571"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1.425.000</w:t>
            </w:r>
          </w:p>
        </w:tc>
        <w:tc>
          <w:tcPr>
            <w:tcW w:w="1075" w:type="dxa"/>
            <w:vAlign w:val="center"/>
          </w:tcPr>
          <w:p w14:paraId="1E987CAA"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11</w:t>
            </w:r>
            <w:r>
              <w:rPr>
                <w:rFonts w:ascii="Calibri" w:hAnsi="Calibri"/>
                <w:bCs/>
                <w:color w:val="000000"/>
                <w:sz w:val="18"/>
                <w:szCs w:val="18"/>
              </w:rPr>
              <w:t xml:space="preserve"> </w:t>
            </w:r>
            <w:r w:rsidRPr="0060550A">
              <w:rPr>
                <w:rFonts w:ascii="Calibri" w:hAnsi="Calibri"/>
                <w:bCs/>
                <w:color w:val="000000"/>
                <w:sz w:val="18"/>
                <w:szCs w:val="18"/>
              </w:rPr>
              <w:t>%</w:t>
            </w:r>
          </w:p>
        </w:tc>
      </w:tr>
      <w:tr w:rsidR="0060550A" w:rsidRPr="00D14224" w14:paraId="44CE16CC" w14:textId="77777777" w:rsidTr="009E2868">
        <w:trPr>
          <w:trHeight w:val="240"/>
        </w:trPr>
        <w:tc>
          <w:tcPr>
            <w:tcW w:w="3261" w:type="dxa"/>
            <w:shd w:val="clear" w:color="auto" w:fill="auto"/>
            <w:noWrap/>
            <w:vAlign w:val="center"/>
            <w:hideMark/>
          </w:tcPr>
          <w:p w14:paraId="42D2E2D8" w14:textId="77777777" w:rsidR="0060550A" w:rsidRPr="0060550A" w:rsidRDefault="0060550A" w:rsidP="0060550A">
            <w:pPr>
              <w:spacing w:before="40" w:after="40" w:line="240" w:lineRule="auto"/>
              <w:rPr>
                <w:rFonts w:ascii="Calibri" w:hAnsi="Calibri"/>
                <w:color w:val="000000"/>
                <w:sz w:val="18"/>
                <w:szCs w:val="18"/>
              </w:rPr>
            </w:pPr>
            <w:r w:rsidRPr="0060550A">
              <w:rPr>
                <w:rFonts w:ascii="Calibri" w:hAnsi="Calibri"/>
                <w:color w:val="000000"/>
                <w:sz w:val="18"/>
                <w:szCs w:val="18"/>
              </w:rPr>
              <w:t>Administrationsaftale m. Musikhuset Holstebro</w:t>
            </w:r>
          </w:p>
        </w:tc>
        <w:tc>
          <w:tcPr>
            <w:tcW w:w="1074" w:type="dxa"/>
            <w:shd w:val="clear" w:color="000000" w:fill="FFFFFF"/>
            <w:noWrap/>
            <w:vAlign w:val="center"/>
          </w:tcPr>
          <w:p w14:paraId="2F55548F"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2.850.000</w:t>
            </w:r>
          </w:p>
        </w:tc>
        <w:tc>
          <w:tcPr>
            <w:tcW w:w="1075" w:type="dxa"/>
            <w:shd w:val="clear" w:color="000000" w:fill="FFFFFF"/>
            <w:noWrap/>
            <w:vAlign w:val="center"/>
          </w:tcPr>
          <w:p w14:paraId="7799AE7D"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31</w:t>
            </w:r>
            <w:r>
              <w:rPr>
                <w:rFonts w:ascii="Calibri" w:hAnsi="Calibri"/>
                <w:bCs/>
                <w:color w:val="000000"/>
                <w:sz w:val="18"/>
                <w:szCs w:val="18"/>
              </w:rPr>
              <w:t xml:space="preserve"> </w:t>
            </w:r>
            <w:r w:rsidRPr="0060550A">
              <w:rPr>
                <w:rFonts w:ascii="Calibri" w:hAnsi="Calibri"/>
                <w:bCs/>
                <w:color w:val="000000"/>
                <w:sz w:val="18"/>
                <w:szCs w:val="18"/>
              </w:rPr>
              <w:t>%</w:t>
            </w:r>
          </w:p>
        </w:tc>
        <w:tc>
          <w:tcPr>
            <w:tcW w:w="1074" w:type="dxa"/>
            <w:shd w:val="clear" w:color="000000" w:fill="FFFFFF"/>
            <w:noWrap/>
            <w:vAlign w:val="center"/>
          </w:tcPr>
          <w:p w14:paraId="5DC7E89F"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2.850.000</w:t>
            </w:r>
          </w:p>
        </w:tc>
        <w:tc>
          <w:tcPr>
            <w:tcW w:w="1075" w:type="dxa"/>
            <w:shd w:val="clear" w:color="auto" w:fill="auto"/>
            <w:noWrap/>
            <w:vAlign w:val="center"/>
          </w:tcPr>
          <w:p w14:paraId="5933F54D"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18</w:t>
            </w:r>
            <w:r>
              <w:rPr>
                <w:rFonts w:ascii="Calibri" w:hAnsi="Calibri"/>
                <w:bCs/>
                <w:color w:val="000000"/>
                <w:sz w:val="18"/>
                <w:szCs w:val="18"/>
              </w:rPr>
              <w:t xml:space="preserve"> </w:t>
            </w:r>
            <w:r w:rsidRPr="0060550A">
              <w:rPr>
                <w:rFonts w:ascii="Calibri" w:hAnsi="Calibri"/>
                <w:bCs/>
                <w:color w:val="000000"/>
                <w:sz w:val="18"/>
                <w:szCs w:val="18"/>
              </w:rPr>
              <w:t>%</w:t>
            </w:r>
          </w:p>
        </w:tc>
        <w:tc>
          <w:tcPr>
            <w:tcW w:w="1074" w:type="dxa"/>
            <w:vAlign w:val="center"/>
          </w:tcPr>
          <w:p w14:paraId="39566723"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2.870.000</w:t>
            </w:r>
          </w:p>
        </w:tc>
        <w:tc>
          <w:tcPr>
            <w:tcW w:w="1075" w:type="dxa"/>
            <w:vAlign w:val="center"/>
          </w:tcPr>
          <w:p w14:paraId="42BF6D3A" w14:textId="77777777" w:rsidR="0060550A" w:rsidRPr="0060550A" w:rsidRDefault="0060550A" w:rsidP="0060550A">
            <w:pPr>
              <w:spacing w:before="40" w:after="40" w:line="240" w:lineRule="auto"/>
              <w:jc w:val="right"/>
              <w:rPr>
                <w:rFonts w:ascii="Calibri" w:hAnsi="Calibri"/>
                <w:bCs/>
                <w:color w:val="000000"/>
                <w:sz w:val="18"/>
                <w:szCs w:val="18"/>
              </w:rPr>
            </w:pPr>
            <w:r w:rsidRPr="0060550A">
              <w:rPr>
                <w:rFonts w:ascii="Calibri" w:hAnsi="Calibri"/>
                <w:bCs/>
                <w:color w:val="000000"/>
                <w:sz w:val="18"/>
                <w:szCs w:val="18"/>
              </w:rPr>
              <w:t>23</w:t>
            </w:r>
            <w:r>
              <w:rPr>
                <w:rFonts w:ascii="Calibri" w:hAnsi="Calibri"/>
                <w:bCs/>
                <w:color w:val="000000"/>
                <w:sz w:val="18"/>
                <w:szCs w:val="18"/>
              </w:rPr>
              <w:t xml:space="preserve"> </w:t>
            </w:r>
            <w:r w:rsidRPr="0060550A">
              <w:rPr>
                <w:rFonts w:ascii="Calibri" w:hAnsi="Calibri"/>
                <w:bCs/>
                <w:color w:val="000000"/>
                <w:sz w:val="18"/>
                <w:szCs w:val="18"/>
              </w:rPr>
              <w:t>%</w:t>
            </w:r>
          </w:p>
        </w:tc>
      </w:tr>
      <w:tr w:rsidR="0060550A" w:rsidRPr="00D14224" w14:paraId="1392C3AF" w14:textId="77777777" w:rsidTr="009E2868">
        <w:trPr>
          <w:trHeight w:val="255"/>
        </w:trPr>
        <w:tc>
          <w:tcPr>
            <w:tcW w:w="3261" w:type="dxa"/>
            <w:tcBorders>
              <w:bottom w:val="double" w:sz="4" w:space="0" w:color="403152" w:themeColor="accent3"/>
            </w:tcBorders>
            <w:shd w:val="clear" w:color="auto" w:fill="auto"/>
            <w:noWrap/>
            <w:vAlign w:val="center"/>
            <w:hideMark/>
          </w:tcPr>
          <w:p w14:paraId="314D69F3" w14:textId="77777777" w:rsidR="0060550A" w:rsidRPr="0060550A" w:rsidRDefault="0060550A" w:rsidP="00D21FA5">
            <w:pPr>
              <w:spacing w:before="40" w:after="40" w:line="240" w:lineRule="auto"/>
              <w:rPr>
                <w:rFonts w:ascii="Calibri" w:hAnsi="Calibri"/>
                <w:color w:val="000000"/>
                <w:sz w:val="18"/>
                <w:szCs w:val="18"/>
              </w:rPr>
            </w:pPr>
            <w:r w:rsidRPr="0060550A">
              <w:rPr>
                <w:rFonts w:ascii="Calibri" w:hAnsi="Calibri"/>
                <w:color w:val="000000"/>
                <w:sz w:val="18"/>
                <w:szCs w:val="18"/>
              </w:rPr>
              <w:t>Øvrige omkostninger (</w:t>
            </w:r>
            <w:r w:rsidR="00D21FA5" w:rsidRPr="0060550A">
              <w:rPr>
                <w:rFonts w:ascii="Calibri" w:hAnsi="Calibri"/>
                <w:color w:val="000000"/>
                <w:sz w:val="18"/>
                <w:szCs w:val="18"/>
              </w:rPr>
              <w:t>løn til kunstnere</w:t>
            </w:r>
            <w:r w:rsidR="00D21FA5">
              <w:rPr>
                <w:rFonts w:ascii="Calibri" w:hAnsi="Calibri"/>
                <w:color w:val="000000"/>
                <w:sz w:val="18"/>
                <w:szCs w:val="18"/>
              </w:rPr>
              <w:t xml:space="preserve">, </w:t>
            </w:r>
            <w:r w:rsidR="00041BB3" w:rsidRPr="0060550A">
              <w:rPr>
                <w:rFonts w:ascii="Calibri" w:hAnsi="Calibri"/>
                <w:color w:val="000000"/>
                <w:sz w:val="18"/>
                <w:szCs w:val="18"/>
              </w:rPr>
              <w:t>produktions</w:t>
            </w:r>
            <w:r w:rsidR="00041BB3">
              <w:rPr>
                <w:rFonts w:ascii="Calibri" w:hAnsi="Calibri"/>
                <w:color w:val="000000"/>
                <w:sz w:val="18"/>
                <w:szCs w:val="18"/>
              </w:rPr>
              <w:t>o</w:t>
            </w:r>
            <w:r w:rsidR="00041BB3" w:rsidRPr="0060550A">
              <w:rPr>
                <w:rFonts w:ascii="Calibri" w:hAnsi="Calibri"/>
                <w:color w:val="000000"/>
                <w:sz w:val="18"/>
                <w:szCs w:val="18"/>
              </w:rPr>
              <w:t>mkostninger</w:t>
            </w:r>
            <w:r w:rsidR="00E30F30">
              <w:rPr>
                <w:rFonts w:ascii="Calibri" w:hAnsi="Calibri"/>
                <w:color w:val="000000"/>
                <w:sz w:val="18"/>
                <w:szCs w:val="18"/>
              </w:rPr>
              <w:t>,</w:t>
            </w:r>
            <w:r w:rsidRPr="0060550A">
              <w:rPr>
                <w:rFonts w:ascii="Calibri" w:hAnsi="Calibri"/>
                <w:color w:val="000000"/>
                <w:sz w:val="18"/>
                <w:szCs w:val="18"/>
              </w:rPr>
              <w:t xml:space="preserve"> rejser, catering</w:t>
            </w:r>
            <w:r>
              <w:rPr>
                <w:rFonts w:ascii="Calibri" w:hAnsi="Calibri"/>
                <w:color w:val="000000"/>
                <w:sz w:val="18"/>
                <w:szCs w:val="18"/>
              </w:rPr>
              <w:t>, leje af eksterne øvelokaler m</w:t>
            </w:r>
            <w:r w:rsidRPr="0060550A">
              <w:rPr>
                <w:rFonts w:ascii="Calibri" w:hAnsi="Calibri"/>
                <w:color w:val="000000"/>
                <w:sz w:val="18"/>
                <w:szCs w:val="18"/>
              </w:rPr>
              <w:t>v.)</w:t>
            </w:r>
          </w:p>
        </w:tc>
        <w:tc>
          <w:tcPr>
            <w:tcW w:w="1074" w:type="dxa"/>
            <w:tcBorders>
              <w:bottom w:val="double" w:sz="4" w:space="0" w:color="403152" w:themeColor="accent3"/>
            </w:tcBorders>
            <w:shd w:val="clear" w:color="000000" w:fill="FFFFFF"/>
            <w:noWrap/>
            <w:vAlign w:val="center"/>
          </w:tcPr>
          <w:p w14:paraId="01E660F4"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4.918.672</w:t>
            </w:r>
          </w:p>
        </w:tc>
        <w:tc>
          <w:tcPr>
            <w:tcW w:w="1075" w:type="dxa"/>
            <w:tcBorders>
              <w:bottom w:val="double" w:sz="4" w:space="0" w:color="403152" w:themeColor="accent3"/>
            </w:tcBorders>
            <w:shd w:val="clear" w:color="000000" w:fill="FFFFFF"/>
            <w:noWrap/>
            <w:vAlign w:val="center"/>
          </w:tcPr>
          <w:p w14:paraId="7E2223AA"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54</w:t>
            </w:r>
            <w:r>
              <w:rPr>
                <w:rFonts w:ascii="Calibri" w:hAnsi="Calibri"/>
                <w:bCs/>
                <w:sz w:val="18"/>
                <w:szCs w:val="18"/>
              </w:rPr>
              <w:t xml:space="preserve"> </w:t>
            </w:r>
            <w:r w:rsidRPr="0060550A">
              <w:rPr>
                <w:rFonts w:ascii="Calibri" w:hAnsi="Calibri"/>
                <w:bCs/>
                <w:sz w:val="18"/>
                <w:szCs w:val="18"/>
              </w:rPr>
              <w:t>%</w:t>
            </w:r>
          </w:p>
        </w:tc>
        <w:tc>
          <w:tcPr>
            <w:tcW w:w="1074" w:type="dxa"/>
            <w:tcBorders>
              <w:bottom w:val="double" w:sz="4" w:space="0" w:color="403152" w:themeColor="accent3"/>
            </w:tcBorders>
            <w:shd w:val="clear" w:color="000000" w:fill="FFFFFF"/>
            <w:noWrap/>
            <w:vAlign w:val="center"/>
          </w:tcPr>
          <w:p w14:paraId="7EBF2558"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11.142.932</w:t>
            </w:r>
          </w:p>
        </w:tc>
        <w:tc>
          <w:tcPr>
            <w:tcW w:w="1075" w:type="dxa"/>
            <w:tcBorders>
              <w:bottom w:val="double" w:sz="4" w:space="0" w:color="403152" w:themeColor="accent3"/>
            </w:tcBorders>
            <w:shd w:val="clear" w:color="auto" w:fill="auto"/>
            <w:noWrap/>
            <w:vAlign w:val="center"/>
          </w:tcPr>
          <w:p w14:paraId="0608AA2B"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72</w:t>
            </w:r>
            <w:r>
              <w:rPr>
                <w:rFonts w:ascii="Calibri" w:hAnsi="Calibri"/>
                <w:bCs/>
                <w:sz w:val="18"/>
                <w:szCs w:val="18"/>
              </w:rPr>
              <w:t xml:space="preserve"> </w:t>
            </w:r>
            <w:r w:rsidRPr="0060550A">
              <w:rPr>
                <w:rFonts w:ascii="Calibri" w:hAnsi="Calibri"/>
                <w:bCs/>
                <w:sz w:val="18"/>
                <w:szCs w:val="18"/>
              </w:rPr>
              <w:t>%</w:t>
            </w:r>
          </w:p>
        </w:tc>
        <w:tc>
          <w:tcPr>
            <w:tcW w:w="1074" w:type="dxa"/>
            <w:tcBorders>
              <w:bottom w:val="double" w:sz="4" w:space="0" w:color="403152" w:themeColor="accent3"/>
            </w:tcBorders>
            <w:vAlign w:val="center"/>
          </w:tcPr>
          <w:p w14:paraId="1574D737"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8.277.735</w:t>
            </w:r>
          </w:p>
        </w:tc>
        <w:tc>
          <w:tcPr>
            <w:tcW w:w="1075" w:type="dxa"/>
            <w:tcBorders>
              <w:bottom w:val="double" w:sz="4" w:space="0" w:color="403152" w:themeColor="accent3"/>
            </w:tcBorders>
            <w:vAlign w:val="center"/>
          </w:tcPr>
          <w:p w14:paraId="3E71172C" w14:textId="77777777" w:rsidR="0060550A" w:rsidRPr="0060550A" w:rsidRDefault="0060550A" w:rsidP="0060550A">
            <w:pPr>
              <w:spacing w:before="40" w:after="40" w:line="240" w:lineRule="auto"/>
              <w:jc w:val="right"/>
              <w:rPr>
                <w:rFonts w:ascii="Calibri" w:hAnsi="Calibri"/>
                <w:bCs/>
                <w:sz w:val="18"/>
                <w:szCs w:val="18"/>
              </w:rPr>
            </w:pPr>
            <w:r w:rsidRPr="0060550A">
              <w:rPr>
                <w:rFonts w:ascii="Calibri" w:hAnsi="Calibri"/>
                <w:bCs/>
                <w:sz w:val="18"/>
                <w:szCs w:val="18"/>
              </w:rPr>
              <w:t>66</w:t>
            </w:r>
            <w:r>
              <w:rPr>
                <w:rFonts w:ascii="Calibri" w:hAnsi="Calibri"/>
                <w:bCs/>
                <w:sz w:val="18"/>
                <w:szCs w:val="18"/>
              </w:rPr>
              <w:t xml:space="preserve"> </w:t>
            </w:r>
            <w:r w:rsidRPr="0060550A">
              <w:rPr>
                <w:rFonts w:ascii="Calibri" w:hAnsi="Calibri"/>
                <w:bCs/>
                <w:sz w:val="18"/>
                <w:szCs w:val="18"/>
              </w:rPr>
              <w:t>%</w:t>
            </w:r>
          </w:p>
        </w:tc>
      </w:tr>
      <w:tr w:rsidR="0060550A" w:rsidRPr="00D14224" w14:paraId="38E6A0C9" w14:textId="77777777" w:rsidTr="009E2868">
        <w:trPr>
          <w:trHeight w:val="270"/>
        </w:trPr>
        <w:tc>
          <w:tcPr>
            <w:tcW w:w="3261" w:type="dxa"/>
            <w:tcBorders>
              <w:top w:val="double" w:sz="4" w:space="0" w:color="403152" w:themeColor="accent3"/>
              <w:bottom w:val="double" w:sz="4" w:space="0" w:color="403152" w:themeColor="accent3"/>
            </w:tcBorders>
            <w:shd w:val="clear" w:color="auto" w:fill="F2F2F2" w:themeFill="background1" w:themeFillShade="F2"/>
            <w:noWrap/>
            <w:hideMark/>
          </w:tcPr>
          <w:p w14:paraId="0069DC1B" w14:textId="77777777" w:rsidR="0060550A" w:rsidRPr="00D14224" w:rsidRDefault="0060550A" w:rsidP="0060550A">
            <w:pPr>
              <w:spacing w:before="40" w:after="40" w:line="240" w:lineRule="auto"/>
              <w:rPr>
                <w:rFonts w:ascii="Calibri" w:eastAsia="Times New Roman" w:hAnsi="Calibri" w:cs="Times New Roman"/>
                <w:b/>
                <w:bCs/>
                <w:color w:val="000000"/>
                <w:sz w:val="18"/>
                <w:szCs w:val="18"/>
                <w:lang w:eastAsia="da-DK"/>
              </w:rPr>
            </w:pPr>
            <w:r w:rsidRPr="00D14224">
              <w:rPr>
                <w:rFonts w:ascii="Calibri" w:eastAsia="Times New Roman" w:hAnsi="Calibri" w:cs="Times New Roman"/>
                <w:b/>
                <w:bCs/>
                <w:color w:val="000000"/>
                <w:sz w:val="18"/>
                <w:szCs w:val="18"/>
                <w:lang w:eastAsia="da-DK"/>
              </w:rPr>
              <w:t>Omkostninger i alt</w:t>
            </w:r>
          </w:p>
        </w:tc>
        <w:tc>
          <w:tcPr>
            <w:tcW w:w="1074" w:type="dxa"/>
            <w:tcBorders>
              <w:top w:val="double" w:sz="4" w:space="0" w:color="403152" w:themeColor="accent3"/>
              <w:bottom w:val="double" w:sz="4" w:space="0" w:color="403152" w:themeColor="accent3"/>
            </w:tcBorders>
            <w:shd w:val="clear" w:color="auto" w:fill="F2F2F2" w:themeFill="background1" w:themeFillShade="F2"/>
            <w:noWrap/>
            <w:vAlign w:val="center"/>
          </w:tcPr>
          <w:p w14:paraId="782DAEE1"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9.193.672</w:t>
            </w:r>
          </w:p>
        </w:tc>
        <w:tc>
          <w:tcPr>
            <w:tcW w:w="1075" w:type="dxa"/>
            <w:tcBorders>
              <w:top w:val="double" w:sz="4" w:space="0" w:color="403152" w:themeColor="accent3"/>
              <w:bottom w:val="double" w:sz="4" w:space="0" w:color="403152" w:themeColor="accent3"/>
            </w:tcBorders>
            <w:shd w:val="clear" w:color="auto" w:fill="F2F2F2" w:themeFill="background1" w:themeFillShade="F2"/>
            <w:noWrap/>
            <w:vAlign w:val="center"/>
          </w:tcPr>
          <w:p w14:paraId="0B9ADAFD"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100</w:t>
            </w:r>
            <w:r w:rsidR="00841404">
              <w:rPr>
                <w:rFonts w:ascii="Calibri" w:hAnsi="Calibri"/>
                <w:b/>
                <w:bCs/>
                <w:color w:val="000000"/>
                <w:sz w:val="18"/>
                <w:szCs w:val="18"/>
              </w:rPr>
              <w:t xml:space="preserve">  </w:t>
            </w:r>
            <w:r>
              <w:rPr>
                <w:rFonts w:ascii="Calibri" w:hAnsi="Calibri"/>
                <w:b/>
                <w:bCs/>
                <w:color w:val="000000"/>
                <w:sz w:val="18"/>
                <w:szCs w:val="18"/>
              </w:rPr>
              <w:t>%</w:t>
            </w:r>
          </w:p>
        </w:tc>
        <w:tc>
          <w:tcPr>
            <w:tcW w:w="1074" w:type="dxa"/>
            <w:tcBorders>
              <w:top w:val="double" w:sz="4" w:space="0" w:color="403152" w:themeColor="accent3"/>
              <w:bottom w:val="double" w:sz="4" w:space="0" w:color="403152" w:themeColor="accent3"/>
            </w:tcBorders>
            <w:shd w:val="clear" w:color="auto" w:fill="F2F2F2" w:themeFill="background1" w:themeFillShade="F2"/>
            <w:noWrap/>
            <w:vAlign w:val="center"/>
          </w:tcPr>
          <w:p w14:paraId="4ECFD754"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15.423.932</w:t>
            </w:r>
          </w:p>
        </w:tc>
        <w:tc>
          <w:tcPr>
            <w:tcW w:w="1075" w:type="dxa"/>
            <w:tcBorders>
              <w:top w:val="double" w:sz="4" w:space="0" w:color="403152" w:themeColor="accent3"/>
              <w:bottom w:val="double" w:sz="4" w:space="0" w:color="403152" w:themeColor="accent3"/>
            </w:tcBorders>
            <w:shd w:val="clear" w:color="auto" w:fill="F2F2F2" w:themeFill="background1" w:themeFillShade="F2"/>
            <w:noWrap/>
            <w:vAlign w:val="center"/>
          </w:tcPr>
          <w:p w14:paraId="16848CEE"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100%</w:t>
            </w:r>
          </w:p>
        </w:tc>
        <w:tc>
          <w:tcPr>
            <w:tcW w:w="1074" w:type="dxa"/>
            <w:tcBorders>
              <w:top w:val="double" w:sz="4" w:space="0" w:color="403152" w:themeColor="accent3"/>
              <w:bottom w:val="double" w:sz="4" w:space="0" w:color="403152" w:themeColor="accent3"/>
            </w:tcBorders>
            <w:shd w:val="clear" w:color="auto" w:fill="F2F2F2" w:themeFill="background1" w:themeFillShade="F2"/>
            <w:vAlign w:val="center"/>
          </w:tcPr>
          <w:p w14:paraId="761F5103"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12.572.735</w:t>
            </w:r>
          </w:p>
        </w:tc>
        <w:tc>
          <w:tcPr>
            <w:tcW w:w="1075" w:type="dxa"/>
            <w:tcBorders>
              <w:top w:val="double" w:sz="4" w:space="0" w:color="403152" w:themeColor="accent3"/>
              <w:bottom w:val="double" w:sz="4" w:space="0" w:color="403152" w:themeColor="accent3"/>
            </w:tcBorders>
            <w:shd w:val="clear" w:color="auto" w:fill="F2F2F2" w:themeFill="background1" w:themeFillShade="F2"/>
            <w:vAlign w:val="center"/>
          </w:tcPr>
          <w:p w14:paraId="2A73D607"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100</w:t>
            </w:r>
            <w:r w:rsidR="00841404">
              <w:rPr>
                <w:rFonts w:ascii="Calibri" w:hAnsi="Calibri"/>
                <w:b/>
                <w:bCs/>
                <w:color w:val="000000"/>
                <w:sz w:val="18"/>
                <w:szCs w:val="18"/>
              </w:rPr>
              <w:t xml:space="preserve"> </w:t>
            </w:r>
            <w:r>
              <w:rPr>
                <w:rFonts w:ascii="Calibri" w:hAnsi="Calibri"/>
                <w:b/>
                <w:bCs/>
                <w:color w:val="000000"/>
                <w:sz w:val="18"/>
                <w:szCs w:val="18"/>
              </w:rPr>
              <w:t>%</w:t>
            </w:r>
          </w:p>
        </w:tc>
      </w:tr>
      <w:tr w:rsidR="0060550A" w:rsidRPr="00CB249C" w14:paraId="3754060B" w14:textId="77777777" w:rsidTr="009E2868">
        <w:trPr>
          <w:trHeight w:val="255"/>
        </w:trPr>
        <w:tc>
          <w:tcPr>
            <w:tcW w:w="3261" w:type="dxa"/>
            <w:tcBorders>
              <w:top w:val="double" w:sz="4" w:space="0" w:color="403152" w:themeColor="accent3"/>
            </w:tcBorders>
            <w:shd w:val="clear" w:color="auto" w:fill="FFFFFF" w:themeFill="background1"/>
            <w:noWrap/>
            <w:hideMark/>
          </w:tcPr>
          <w:p w14:paraId="02B31B7C" w14:textId="77777777" w:rsidR="0060550A" w:rsidRPr="00CB249C" w:rsidRDefault="0060550A" w:rsidP="0060550A">
            <w:pPr>
              <w:spacing w:before="40" w:after="40" w:line="240" w:lineRule="auto"/>
              <w:rPr>
                <w:rFonts w:ascii="Calibri" w:eastAsia="Times New Roman" w:hAnsi="Calibri" w:cs="Times New Roman"/>
                <w:b/>
                <w:bCs/>
                <w:color w:val="000000"/>
                <w:sz w:val="18"/>
                <w:szCs w:val="18"/>
                <w:lang w:eastAsia="da-DK"/>
              </w:rPr>
            </w:pPr>
            <w:r w:rsidRPr="00CB249C">
              <w:rPr>
                <w:rFonts w:ascii="Calibri" w:eastAsia="Times New Roman" w:hAnsi="Calibri" w:cs="Times New Roman"/>
                <w:b/>
                <w:bCs/>
                <w:color w:val="000000"/>
                <w:sz w:val="18"/>
                <w:szCs w:val="18"/>
                <w:lang w:eastAsia="da-DK"/>
              </w:rPr>
              <w:t>Resultat</w:t>
            </w:r>
          </w:p>
        </w:tc>
        <w:tc>
          <w:tcPr>
            <w:tcW w:w="1074" w:type="dxa"/>
            <w:tcBorders>
              <w:top w:val="double" w:sz="4" w:space="0" w:color="403152" w:themeColor="accent3"/>
            </w:tcBorders>
            <w:shd w:val="clear" w:color="auto" w:fill="FFFFFF" w:themeFill="background1"/>
            <w:noWrap/>
            <w:vAlign w:val="center"/>
          </w:tcPr>
          <w:p w14:paraId="2C321D12"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59.521</w:t>
            </w:r>
          </w:p>
        </w:tc>
        <w:tc>
          <w:tcPr>
            <w:tcW w:w="1075" w:type="dxa"/>
            <w:tcBorders>
              <w:top w:val="double" w:sz="4" w:space="0" w:color="403152" w:themeColor="accent3"/>
            </w:tcBorders>
            <w:shd w:val="clear" w:color="auto" w:fill="FFFFFF" w:themeFill="background1"/>
            <w:noWrap/>
            <w:vAlign w:val="center"/>
          </w:tcPr>
          <w:p w14:paraId="1991F7C9"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 </w:t>
            </w:r>
          </w:p>
        </w:tc>
        <w:tc>
          <w:tcPr>
            <w:tcW w:w="1074" w:type="dxa"/>
            <w:tcBorders>
              <w:top w:val="double" w:sz="4" w:space="0" w:color="403152" w:themeColor="accent3"/>
            </w:tcBorders>
            <w:shd w:val="clear" w:color="auto" w:fill="FFFFFF" w:themeFill="background1"/>
            <w:noWrap/>
            <w:vAlign w:val="center"/>
          </w:tcPr>
          <w:p w14:paraId="0FDBA600"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9.499</w:t>
            </w:r>
          </w:p>
        </w:tc>
        <w:tc>
          <w:tcPr>
            <w:tcW w:w="1075" w:type="dxa"/>
            <w:tcBorders>
              <w:top w:val="double" w:sz="4" w:space="0" w:color="403152" w:themeColor="accent3"/>
            </w:tcBorders>
            <w:shd w:val="clear" w:color="auto" w:fill="FFFFFF" w:themeFill="background1"/>
            <w:noWrap/>
            <w:vAlign w:val="center"/>
          </w:tcPr>
          <w:p w14:paraId="787C0884"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 </w:t>
            </w:r>
          </w:p>
        </w:tc>
        <w:tc>
          <w:tcPr>
            <w:tcW w:w="1074" w:type="dxa"/>
            <w:tcBorders>
              <w:top w:val="double" w:sz="4" w:space="0" w:color="403152" w:themeColor="accent3"/>
            </w:tcBorders>
            <w:shd w:val="clear" w:color="auto" w:fill="FFFFFF" w:themeFill="background1"/>
            <w:vAlign w:val="center"/>
          </w:tcPr>
          <w:p w14:paraId="495FAAD6" w14:textId="77777777" w:rsidR="0060550A" w:rsidRDefault="0060550A" w:rsidP="009E2868">
            <w:pPr>
              <w:jc w:val="right"/>
              <w:rPr>
                <w:rFonts w:ascii="Calibri" w:hAnsi="Calibri"/>
                <w:b/>
                <w:bCs/>
                <w:sz w:val="18"/>
                <w:szCs w:val="18"/>
              </w:rPr>
            </w:pPr>
            <w:r>
              <w:rPr>
                <w:rFonts w:ascii="Calibri" w:hAnsi="Calibri"/>
                <w:b/>
                <w:bCs/>
                <w:sz w:val="18"/>
                <w:szCs w:val="18"/>
              </w:rPr>
              <w:t>-260.549</w:t>
            </w:r>
          </w:p>
        </w:tc>
        <w:tc>
          <w:tcPr>
            <w:tcW w:w="1075" w:type="dxa"/>
            <w:tcBorders>
              <w:top w:val="double" w:sz="4" w:space="0" w:color="403152" w:themeColor="accent3"/>
            </w:tcBorders>
            <w:shd w:val="clear" w:color="auto" w:fill="FFFFFF" w:themeFill="background1"/>
            <w:vAlign w:val="center"/>
          </w:tcPr>
          <w:p w14:paraId="7629A962" w14:textId="77777777" w:rsidR="0060550A" w:rsidRDefault="0060550A" w:rsidP="009E2868">
            <w:pPr>
              <w:jc w:val="right"/>
              <w:rPr>
                <w:rFonts w:ascii="Calibri" w:hAnsi="Calibri"/>
                <w:b/>
                <w:bCs/>
                <w:color w:val="000000"/>
                <w:sz w:val="18"/>
                <w:szCs w:val="18"/>
              </w:rPr>
            </w:pPr>
            <w:r>
              <w:rPr>
                <w:rFonts w:ascii="Calibri" w:hAnsi="Calibri"/>
                <w:b/>
                <w:bCs/>
                <w:color w:val="000000"/>
                <w:sz w:val="18"/>
                <w:szCs w:val="18"/>
              </w:rPr>
              <w:t> </w:t>
            </w:r>
          </w:p>
        </w:tc>
      </w:tr>
    </w:tbl>
    <w:p w14:paraId="2D78AE23" w14:textId="77777777" w:rsidR="008A0493" w:rsidRDefault="008A0493" w:rsidP="008A0493"/>
    <w:p w14:paraId="09BD3BE6" w14:textId="77777777" w:rsidR="008A0493" w:rsidRDefault="00E17634" w:rsidP="008A0493">
      <w:r w:rsidRPr="00B03AED">
        <w:t>Med en samlet omsætning på ca. 12,5</w:t>
      </w:r>
      <w:r w:rsidR="008A0493" w:rsidRPr="00B03AED">
        <w:t xml:space="preserve"> mio. kr. i 2015 ligger </w:t>
      </w:r>
      <w:r w:rsidRPr="00B03AED">
        <w:t>Black Box Theatre</w:t>
      </w:r>
      <w:r w:rsidR="000704BB" w:rsidRPr="00B03AED">
        <w:t xml:space="preserve"> blandt de ti ud af i alt</w:t>
      </w:r>
      <w:r w:rsidR="008A0493" w:rsidRPr="00B03AED">
        <w:t xml:space="preserve"> 33 egnsteatre, der har en totalomsætning på </w:t>
      </w:r>
      <w:r w:rsidR="000704BB" w:rsidRPr="00B03AED">
        <w:t>over</w:t>
      </w:r>
      <w:r w:rsidR="008A0493" w:rsidRPr="00B03AED">
        <w:t xml:space="preserve"> 10 mio. kr. (bilag 1). Egenomsætningen på de </w:t>
      </w:r>
      <w:r w:rsidR="000704BB" w:rsidRPr="00B03AED">
        <w:t>2</w:t>
      </w:r>
      <w:r w:rsidR="008A0493" w:rsidRPr="00B03AED">
        <w:t xml:space="preserve">3 % </w:t>
      </w:r>
      <w:r w:rsidR="000704BB" w:rsidRPr="00B03AED">
        <w:t xml:space="preserve">i 2015 </w:t>
      </w:r>
      <w:r w:rsidR="008A0493" w:rsidRPr="00B03AED">
        <w:t>placerer teatret sammen med 1</w:t>
      </w:r>
      <w:r w:rsidR="00B03AED" w:rsidRPr="00B03AED">
        <w:t>3</w:t>
      </w:r>
      <w:r w:rsidR="008A0493" w:rsidRPr="00B03AED">
        <w:t xml:space="preserve"> andre egnsteatre med en egenomsætning på </w:t>
      </w:r>
      <w:r w:rsidR="00B03AED" w:rsidRPr="00B03AED">
        <w:t xml:space="preserve">under </w:t>
      </w:r>
      <w:r w:rsidR="008A0493" w:rsidRPr="00B03AED">
        <w:t>3</w:t>
      </w:r>
      <w:r w:rsidR="00B03AED" w:rsidRPr="00B03AED">
        <w:t>0</w:t>
      </w:r>
      <w:r w:rsidR="008A0493" w:rsidRPr="00B03AED">
        <w:t xml:space="preserve"> % (se bilag 2).</w:t>
      </w:r>
      <w:r w:rsidR="00B03AED">
        <w:t xml:space="preserve"> </w:t>
      </w:r>
    </w:p>
    <w:p w14:paraId="3BAFAF76" w14:textId="77777777" w:rsidR="000F670D" w:rsidRPr="00165B3E" w:rsidRDefault="000F670D" w:rsidP="00165B3E">
      <w:pPr>
        <w:pStyle w:val="Overskrift2"/>
      </w:pPr>
      <w:bookmarkStart w:id="5" w:name="_Toc484674622"/>
      <w:r w:rsidRPr="00165B3E">
        <w:t>Vurdering af rammer og ta</w:t>
      </w:r>
      <w:r w:rsidR="00FD2826" w:rsidRPr="00165B3E">
        <w:t>l</w:t>
      </w:r>
      <w:bookmarkEnd w:id="5"/>
    </w:p>
    <w:p w14:paraId="5DEB1197" w14:textId="77777777" w:rsidR="00890E4B" w:rsidRDefault="00890E4B" w:rsidP="00890E4B">
      <w:r>
        <w:t xml:space="preserve">Baseret på Kulturstyrelsens data og bearbejdning </w:t>
      </w:r>
      <w:r w:rsidR="00640B79">
        <w:t>af disse</w:t>
      </w:r>
      <w:r>
        <w:t xml:space="preserve"> er d</w:t>
      </w:r>
      <w:r w:rsidR="00343A49">
        <w:t>et evaluators samlede vurderin</w:t>
      </w:r>
      <w:r w:rsidR="00FF4F79">
        <w:t xml:space="preserve">g, </w:t>
      </w:r>
      <w:r w:rsidR="00452361">
        <w:t xml:space="preserve">at Black Box Theatre </w:t>
      </w:r>
      <w:r w:rsidR="000341AF">
        <w:t xml:space="preserve">er </w:t>
      </w:r>
      <w:r w:rsidR="00623FBB">
        <w:t xml:space="preserve">godt på vej </w:t>
      </w:r>
      <w:r w:rsidR="000341AF">
        <w:t xml:space="preserve">med </w:t>
      </w:r>
      <w:r w:rsidR="00ED2EB9">
        <w:t xml:space="preserve">at </w:t>
      </w:r>
      <w:r w:rsidR="003D791C">
        <w:t>konsolider</w:t>
      </w:r>
      <w:r w:rsidR="00ED2EB9">
        <w:t>e og videre</w:t>
      </w:r>
      <w:r w:rsidR="00C478A1">
        <w:t>udvikle teatret</w:t>
      </w:r>
      <w:r w:rsidR="00B24992">
        <w:t xml:space="preserve"> i tråd med de anbefalinger, der blev </w:t>
      </w:r>
      <w:r w:rsidR="00B1374E">
        <w:t xml:space="preserve">givet </w:t>
      </w:r>
      <w:r w:rsidR="00B24992">
        <w:t xml:space="preserve">i den tidligere </w:t>
      </w:r>
      <w:r w:rsidR="00C478A1">
        <w:t>egnsteaterevaluer</w:t>
      </w:r>
      <w:r w:rsidR="00B24992">
        <w:t xml:space="preserve">ing </w:t>
      </w:r>
      <w:r w:rsidR="00B16CFA">
        <w:t>(Jens August Wille for Kunststyrelsen, marts 2013)</w:t>
      </w:r>
      <w:r w:rsidR="008E76FF">
        <w:t>.</w:t>
      </w:r>
    </w:p>
    <w:p w14:paraId="1E0EB1E3" w14:textId="77777777" w:rsidR="008E4988" w:rsidRDefault="008E4988" w:rsidP="00890E4B"/>
    <w:p w14:paraId="34CB17C0" w14:textId="77777777" w:rsidR="0085033E" w:rsidRDefault="008E4988" w:rsidP="00890E4B">
      <w:r>
        <w:t>Den o</w:t>
      </w:r>
      <w:r w:rsidR="002240F0">
        <w:t>verordnede</w:t>
      </w:r>
      <w:r w:rsidR="00890E4B">
        <w:t xml:space="preserve"> ledelse</w:t>
      </w:r>
      <w:r>
        <w:t xml:space="preserve">sstruktur </w:t>
      </w:r>
      <w:r w:rsidR="00B16CFA">
        <w:t xml:space="preserve">fungerer hensigtsmæssig. </w:t>
      </w:r>
      <w:r w:rsidR="00974A3D">
        <w:t xml:space="preserve">Forretningsmodellen med en lille fast stab, suppleret med produktionsansat kunstnerisk personale </w:t>
      </w:r>
      <w:r w:rsidR="000E3245">
        <w:t xml:space="preserve">ses i mange egnsteatre og virker også her fornuftigt. </w:t>
      </w:r>
      <w:r w:rsidR="00313FC3">
        <w:t xml:space="preserve">Ledelsesstrukturen er </w:t>
      </w:r>
      <w:r w:rsidR="00757674">
        <w:t>imidlertid meget personafhængig</w:t>
      </w:r>
      <w:r w:rsidR="00313FC3">
        <w:t xml:space="preserve"> </w:t>
      </w:r>
      <w:r w:rsidR="00AC1214">
        <w:t xml:space="preserve">(direktør og bestyrelsesformand) </w:t>
      </w:r>
      <w:r w:rsidR="00313FC3">
        <w:t>og virker på nogle punkter ugennemsigtig.</w:t>
      </w:r>
      <w:r w:rsidR="00757674">
        <w:t xml:space="preserve"> </w:t>
      </w:r>
      <w:r w:rsidR="0096282E">
        <w:t xml:space="preserve">Konkret </w:t>
      </w:r>
      <w:r w:rsidR="00757674">
        <w:t xml:space="preserve">er </w:t>
      </w:r>
      <w:r w:rsidR="009751EF">
        <w:t xml:space="preserve">prioriteringerne </w:t>
      </w:r>
      <w:r w:rsidR="00757674">
        <w:t xml:space="preserve">mellem </w:t>
      </w:r>
      <w:r w:rsidR="009751EF">
        <w:t xml:space="preserve">de tre forskellige kunstneriske genrer på teatret uklare, og de tre </w:t>
      </w:r>
      <w:r w:rsidR="00F42603">
        <w:t xml:space="preserve">enheder </w:t>
      </w:r>
      <w:r w:rsidR="009751EF">
        <w:t xml:space="preserve">fremstår fragmenteret snarere end </w:t>
      </w:r>
      <w:r w:rsidR="00F42603">
        <w:t>tre dele af det samme egnsteater</w:t>
      </w:r>
      <w:r w:rsidR="009751EF">
        <w:t>.</w:t>
      </w:r>
      <w:r w:rsidR="0019598D">
        <w:t xml:space="preserve"> </w:t>
      </w:r>
    </w:p>
    <w:p w14:paraId="6E5AE2C2" w14:textId="77777777" w:rsidR="003D3F70" w:rsidRPr="006E2F21" w:rsidRDefault="003D3F70" w:rsidP="00B5790D"/>
    <w:p w14:paraId="2FBA2DA7" w14:textId="77777777" w:rsidR="00B5790D" w:rsidRDefault="006E2F21" w:rsidP="00B5790D">
      <w:r>
        <w:t xml:space="preserve">Egnsteatrets bestyrelse har aktuelt personsammenfald med musikteatrets bestyrelse. Dette ændres pr. 2018, og herefter er der alene en person (egnsteatrets formand), der deltager i begge bestyrelser. Det virker hensigtsmæssigt. </w:t>
      </w:r>
      <w:r w:rsidR="00B5790D" w:rsidRPr="006E2F21">
        <w:t xml:space="preserve">Den aktuelle kompetenceprofil i egnsteatrets bestyrelse er nogenlunde bredt dækkende, dog kunne der mangle en egentlig teaterfaglig person, ligesom evaluator finder ringe belæg for, at formanden for </w:t>
      </w:r>
      <w:proofErr w:type="spellStart"/>
      <w:r w:rsidR="00B5790D" w:rsidRPr="006E2F21">
        <w:t>Newco</w:t>
      </w:r>
      <w:proofErr w:type="spellEnd"/>
      <w:r w:rsidR="00B5790D" w:rsidRPr="006E2F21">
        <w:t xml:space="preserve"> er født medlem i egnsteatrets bestyrelse. Procedurerne for bestyrelsessammensætning kunne derfor med fordel justeres – med henblik på at sikre teaterfaglig repræsentation.</w:t>
      </w:r>
      <w:r w:rsidR="00A307DF">
        <w:t xml:space="preserve"> Evt. kunne</w:t>
      </w:r>
      <w:r w:rsidR="00067770">
        <w:t xml:space="preserve"> de kunstneriske medarbejdere i Black Box Theatre være udpegende instans. </w:t>
      </w:r>
      <w:r w:rsidR="00B5790D">
        <w:t xml:space="preserve"> </w:t>
      </w:r>
    </w:p>
    <w:p w14:paraId="14763F34" w14:textId="77777777" w:rsidR="00B5790D" w:rsidRDefault="00B5790D" w:rsidP="00890E4B"/>
    <w:p w14:paraId="17637813" w14:textId="77777777" w:rsidR="00733800" w:rsidRDefault="003B2AD9" w:rsidP="00890E4B">
      <w:r>
        <w:t xml:space="preserve">Den høje grad af udlicitering </w:t>
      </w:r>
      <w:r w:rsidR="000E3245">
        <w:t>af teknisk, administrativt personale</w:t>
      </w:r>
      <w:r>
        <w:t xml:space="preserve"> </w:t>
      </w:r>
      <w:r w:rsidR="0085033E">
        <w:t xml:space="preserve">og den nære tilknytning til Musikteater Holstebro </w:t>
      </w:r>
      <w:r w:rsidR="00DC6355">
        <w:t>er fra flere sider blevet problematiseret</w:t>
      </w:r>
      <w:r w:rsidR="0096282E">
        <w:t>. I</w:t>
      </w:r>
      <w:r w:rsidR="0085033E">
        <w:t>følge evaluators vurdering eksisterer egnsteatret</w:t>
      </w:r>
      <w:r w:rsidR="00DD3E08">
        <w:t xml:space="preserve"> grundlæggende</w:t>
      </w:r>
      <w:r w:rsidR="00C95D87">
        <w:t xml:space="preserve"> </w:t>
      </w:r>
      <w:r w:rsidR="0085033E">
        <w:t xml:space="preserve">som en selvstændig enhed, der benytter sig af stordriftsfordelene i </w:t>
      </w:r>
      <w:r w:rsidR="00623FBB">
        <w:t>de to teaterhuse</w:t>
      </w:r>
      <w:r w:rsidR="0085033E">
        <w:t xml:space="preserve"> samlet set. Modellen k</w:t>
      </w:r>
      <w:r w:rsidR="00DC6355">
        <w:t>an på nogle måder sammenlignes med fx Undergrunden i musikhuset Galaksen</w:t>
      </w:r>
      <w:r w:rsidR="0085033E">
        <w:t>,</w:t>
      </w:r>
      <w:r w:rsidR="00DC6355">
        <w:t xml:space="preserve"> Værløse eller Den Ny Opera i</w:t>
      </w:r>
      <w:r w:rsidR="0085033E">
        <w:t xml:space="preserve"> Musikhuset,</w:t>
      </w:r>
      <w:r w:rsidR="00DC6355">
        <w:t xml:space="preserve"> Esbjerg.</w:t>
      </w:r>
      <w:r w:rsidR="0085033E">
        <w:t xml:space="preserve"> Forskellene i forhold til</w:t>
      </w:r>
      <w:r w:rsidR="00DC6355">
        <w:t xml:space="preserve"> B</w:t>
      </w:r>
      <w:r w:rsidR="0085033E">
        <w:t xml:space="preserve">lack </w:t>
      </w:r>
      <w:r w:rsidR="00DC6355">
        <w:t>B</w:t>
      </w:r>
      <w:r w:rsidR="0085033E">
        <w:t xml:space="preserve">ox </w:t>
      </w:r>
      <w:r w:rsidR="00DC6355">
        <w:t>T</w:t>
      </w:r>
      <w:r w:rsidR="0085033E">
        <w:t>heatre</w:t>
      </w:r>
      <w:r w:rsidR="00DC6355">
        <w:t xml:space="preserve"> er</w:t>
      </w:r>
      <w:r w:rsidR="00760232">
        <w:t>, at h</w:t>
      </w:r>
      <w:r w:rsidR="00DC6355">
        <w:t>er er sammenfald på den ledende post</w:t>
      </w:r>
      <w:r w:rsidR="00977146">
        <w:t>.</w:t>
      </w:r>
      <w:r w:rsidR="00DC6355">
        <w:t xml:space="preserve"> </w:t>
      </w:r>
      <w:r w:rsidR="00DC59A2">
        <w:t>S</w:t>
      </w:r>
      <w:r w:rsidR="00DC6355">
        <w:t xml:space="preserve">pørgsmålet om habilitet </w:t>
      </w:r>
      <w:r w:rsidR="00DC59A2">
        <w:t xml:space="preserve">kan derfor </w:t>
      </w:r>
      <w:r w:rsidR="00DC6355">
        <w:t>melde sig</w:t>
      </w:r>
      <w:r w:rsidR="00733800">
        <w:t>:</w:t>
      </w:r>
      <w:r w:rsidR="00DC6355">
        <w:t xml:space="preserve"> </w:t>
      </w:r>
      <w:r w:rsidR="00733800">
        <w:t>E</w:t>
      </w:r>
      <w:r w:rsidR="00DC6355">
        <w:t>r der de fornødne skotter mellem den statsligt medfinansierede teaterdrift og den kommunale kulturhusdrift</w:t>
      </w:r>
      <w:r w:rsidR="004B66C3">
        <w:t xml:space="preserve">?  Og er de økonomiske </w:t>
      </w:r>
      <w:r w:rsidR="0085033E">
        <w:t>aftaler</w:t>
      </w:r>
      <w:r w:rsidR="00733800">
        <w:t xml:space="preserve"> rimelige ud fra en generel betragtning</w:t>
      </w:r>
      <w:r w:rsidR="004B66C3">
        <w:t>?</w:t>
      </w:r>
    </w:p>
    <w:p w14:paraId="5E021DA2" w14:textId="77777777" w:rsidR="00936B5C" w:rsidRDefault="00936B5C" w:rsidP="00890E4B"/>
    <w:p w14:paraId="1237BA8D" w14:textId="77777777" w:rsidR="00BA30E8" w:rsidRDefault="00936B5C" w:rsidP="008A1EA8">
      <w:r>
        <w:t>I det første</w:t>
      </w:r>
      <w:r w:rsidR="00DC6355">
        <w:t xml:space="preserve"> </w:t>
      </w:r>
      <w:r w:rsidR="006F5C27">
        <w:t xml:space="preserve">forhold </w:t>
      </w:r>
      <w:r>
        <w:t xml:space="preserve">er det evaluators vurdering, at personsammenfaldet i den overordnede ledelse er </w:t>
      </w:r>
      <w:r w:rsidR="00623FBB">
        <w:t xml:space="preserve">fremmende </w:t>
      </w:r>
      <w:r>
        <w:t xml:space="preserve">for en </w:t>
      </w:r>
      <w:r w:rsidR="00977146">
        <w:t xml:space="preserve">effektiv </w:t>
      </w:r>
      <w:r w:rsidR="00C95D87">
        <w:t xml:space="preserve">koordinering og </w:t>
      </w:r>
      <w:r>
        <w:t xml:space="preserve">afvikling af forestillinger og arrangementer og </w:t>
      </w:r>
      <w:r w:rsidR="00977146">
        <w:t xml:space="preserve">samlet </w:t>
      </w:r>
      <w:r>
        <w:t>udnyttelse af det store hus</w:t>
      </w:r>
      <w:r w:rsidR="00977146">
        <w:t xml:space="preserve">. </w:t>
      </w:r>
      <w:r w:rsidR="00A9000C">
        <w:t xml:space="preserve">Hvor der i mange tilsvarende kulturhuse arbejdes med rådighedsdage og løbende udfordringer med kalendere og faciliteter, har man </w:t>
      </w:r>
      <w:r w:rsidR="00623FBB">
        <w:t xml:space="preserve">her </w:t>
      </w:r>
      <w:r w:rsidR="00A9000C">
        <w:t xml:space="preserve">en fleksibel og velkoordineret planlægning i Holstebro. </w:t>
      </w:r>
      <w:r w:rsidR="00977146">
        <w:t>Ledere</w:t>
      </w:r>
      <w:r w:rsidR="00C46498">
        <w:t>n</w:t>
      </w:r>
      <w:r w:rsidR="00977146">
        <w:t xml:space="preserve"> betoner selv, at </w:t>
      </w:r>
      <w:r w:rsidR="00143890">
        <w:t>fokus på dette og på den lokale markedssituation</w:t>
      </w:r>
      <w:r w:rsidR="00B47399">
        <w:t xml:space="preserve"> er vigtig</w:t>
      </w:r>
      <w:r w:rsidR="00C46498">
        <w:t xml:space="preserve">, ikke mindst når teatret også har ambitioner om at </w:t>
      </w:r>
      <w:r w:rsidR="00350C2F">
        <w:t>vise mere smalle forestillinger</w:t>
      </w:r>
      <w:r w:rsidR="00C46498">
        <w:t xml:space="preserve"> </w:t>
      </w:r>
      <w:r w:rsidR="003D3F70">
        <w:t xml:space="preserve">som </w:t>
      </w:r>
      <w:r w:rsidR="00C46498">
        <w:t xml:space="preserve">fx </w:t>
      </w:r>
      <w:r w:rsidR="003D3F70">
        <w:t>en del af danseproduktionerne</w:t>
      </w:r>
      <w:r w:rsidR="00143890">
        <w:t xml:space="preserve">. </w:t>
      </w:r>
    </w:p>
    <w:p w14:paraId="7EFC7FDF" w14:textId="77777777" w:rsidR="00BA30E8" w:rsidRDefault="00BA30E8" w:rsidP="008A1EA8"/>
    <w:p w14:paraId="37C2873F" w14:textId="77777777" w:rsidR="00890E4B" w:rsidRDefault="00143890" w:rsidP="008A1EA8">
      <w:r>
        <w:t xml:space="preserve">Holstebro kommune har ca. </w:t>
      </w:r>
      <w:r w:rsidR="00365A8E">
        <w:t>58</w:t>
      </w:r>
      <w:r>
        <w:t>.000 indbyggere og er beliggende i det nordlige Vestjylland.</w:t>
      </w:r>
      <w:r w:rsidR="00365A8E">
        <w:t xml:space="preserve"> </w:t>
      </w:r>
      <w:r w:rsidR="008A1EA8">
        <w:t xml:space="preserve">Den er et resultat af kommunesammenlægningen i 2017 med Ulfborg-Vemb og Vinderup kommuner og består især af Holstebro som hovedby og herudover en række småbyer og landområder. Der er således </w:t>
      </w:r>
      <w:r w:rsidR="00365A8E">
        <w:t xml:space="preserve">ikke noget stort publikumsunderlag, og samtidig er byen i konkurrence med </w:t>
      </w:r>
      <w:r w:rsidR="008A1EA8">
        <w:t>andre kultur</w:t>
      </w:r>
      <w:r w:rsidR="00365A8E">
        <w:t>kommuner</w:t>
      </w:r>
      <w:r w:rsidR="008A1EA8">
        <w:t xml:space="preserve"> i regionen</w:t>
      </w:r>
      <w:r w:rsidR="00C46498">
        <w:t>.</w:t>
      </w:r>
      <w:r w:rsidR="008A1EA8">
        <w:t xml:space="preserve"> </w:t>
      </w:r>
    </w:p>
    <w:p w14:paraId="3CCB51D4" w14:textId="77777777" w:rsidR="00023E45" w:rsidRDefault="00023E45" w:rsidP="00890E4B"/>
    <w:p w14:paraId="5F0F18F7" w14:textId="77777777" w:rsidR="00BA30E8" w:rsidRDefault="00040E07" w:rsidP="002570CE">
      <w:r>
        <w:t xml:space="preserve">Når det gælder </w:t>
      </w:r>
      <w:r w:rsidR="003B2AD9">
        <w:t xml:space="preserve">det andet </w:t>
      </w:r>
      <w:r w:rsidR="006F5C27">
        <w:t xml:space="preserve">forhold omkring habilitet </w:t>
      </w:r>
      <w:r w:rsidR="003B2AD9">
        <w:t xml:space="preserve">er det evaluators vurdering, at </w:t>
      </w:r>
      <w:r>
        <w:t>den økonomiske adskillelse</w:t>
      </w:r>
      <w:r w:rsidR="003B2AD9">
        <w:t xml:space="preserve"> mellem de to kulturinstitutioner fungerer efter regler</w:t>
      </w:r>
      <w:r w:rsidR="00662875">
        <w:t>ne</w:t>
      </w:r>
      <w:r w:rsidR="00BA30E8">
        <w:t>.</w:t>
      </w:r>
      <w:r w:rsidR="003B2AD9">
        <w:t xml:space="preserve"> </w:t>
      </w:r>
      <w:r w:rsidR="00BA30E8">
        <w:t>D</w:t>
      </w:r>
      <w:r w:rsidR="003B2AD9">
        <w:t>e indgåede aftaler og kontrakter er inden for rammerne af</w:t>
      </w:r>
      <w:r w:rsidR="002570CE">
        <w:t xml:space="preserve"> </w:t>
      </w:r>
      <w:r w:rsidR="00BA30E8">
        <w:t>egnsteaterdrift,</w:t>
      </w:r>
      <w:r w:rsidR="00DD3E08">
        <w:t xml:space="preserve"> og de er anerkendt af den eksterne revis</w:t>
      </w:r>
      <w:r w:rsidR="00431B09">
        <w:t>ion, ligesom d</w:t>
      </w:r>
      <w:r w:rsidR="00DD3E08">
        <w:t>en anden aftalepart, Holstebro Kommune, vurderer, at de kontraktmæssige forhold med Musikteatret er rimelige</w:t>
      </w:r>
      <w:r w:rsidR="00C26D3E">
        <w:t>,</w:t>
      </w:r>
      <w:r w:rsidR="00431B09">
        <w:t xml:space="preserve"> </w:t>
      </w:r>
      <w:r w:rsidR="00DD3E08">
        <w:t>set i forhold til faciliteter og opgaveløsning. Det er dog evaluators vurdering, at</w:t>
      </w:r>
      <w:r w:rsidR="00BA30E8">
        <w:t xml:space="preserve"> de tre økonomiske aftaler </w:t>
      </w:r>
      <w:r w:rsidR="00DD3E08">
        <w:t>(husleje, administration og leje af teknisk personale</w:t>
      </w:r>
      <w:r w:rsidR="00431B09">
        <w:t>/</w:t>
      </w:r>
      <w:r w:rsidR="00DD3E08">
        <w:t xml:space="preserve">udstyr) er </w:t>
      </w:r>
      <w:r w:rsidR="00BA30E8">
        <w:t>omkostningstunge</w:t>
      </w:r>
      <w:r w:rsidR="00C26D3E">
        <w:t xml:space="preserve"> relativt set</w:t>
      </w:r>
      <w:r w:rsidR="00107437">
        <w:t xml:space="preserve">, og at det er en procentuel stor andel af egnsteatrets økonomi, der går til drift </w:t>
      </w:r>
      <w:r w:rsidR="00C26D3E">
        <w:t xml:space="preserve">– ikke mindst </w:t>
      </w:r>
      <w:r w:rsidR="00107437">
        <w:t>i et hus, der under alle omstændigheder fungerer</w:t>
      </w:r>
      <w:r w:rsidR="00BA30E8">
        <w:t xml:space="preserve">. </w:t>
      </w:r>
      <w:r w:rsidR="00E860C1">
        <w:t xml:space="preserve"> Hvad angår ledelsens overvejelse om at integrere en andel af sponsormidlerne fra den fælles sponsorklub </w:t>
      </w:r>
      <w:r w:rsidR="001C444E">
        <w:t xml:space="preserve">i Black Box Theatres regnskab </w:t>
      </w:r>
      <w:r w:rsidR="00E860C1">
        <w:t xml:space="preserve">kan evaluator anbefale dette, såfremt det fremstår klart, at </w:t>
      </w:r>
      <w:r w:rsidR="001C444E">
        <w:t xml:space="preserve">egnsteatrets </w:t>
      </w:r>
      <w:r w:rsidR="00E860C1">
        <w:t xml:space="preserve">er en del af </w:t>
      </w:r>
      <w:r w:rsidR="001C444E">
        <w:t>sponsortilbuddet.</w:t>
      </w:r>
    </w:p>
    <w:p w14:paraId="613DAB99" w14:textId="77777777" w:rsidR="00890E4B" w:rsidRDefault="00890E4B" w:rsidP="00890E4B"/>
    <w:p w14:paraId="15ECEDB1" w14:textId="77777777" w:rsidR="00081C1C" w:rsidRDefault="00081C1C" w:rsidP="00890E4B"/>
    <w:p w14:paraId="3D67625D" w14:textId="77777777" w:rsidR="00054798" w:rsidRDefault="00054798">
      <w:pPr>
        <w:spacing w:after="200" w:line="276" w:lineRule="auto"/>
        <w:rPr>
          <w:rFonts w:asciiTheme="majorHAnsi" w:eastAsiaTheme="majorEastAsia" w:hAnsiTheme="majorHAnsi" w:cstheme="majorBidi"/>
          <w:bCs/>
          <w:caps/>
          <w:color w:val="2F243D" w:themeColor="accent3" w:themeShade="BF"/>
          <w:sz w:val="36"/>
          <w:szCs w:val="28"/>
        </w:rPr>
      </w:pPr>
      <w:r>
        <w:br w:type="page"/>
      </w:r>
    </w:p>
    <w:p w14:paraId="42355311" w14:textId="77777777" w:rsidR="005A19FD" w:rsidRPr="006C3F72" w:rsidRDefault="00401842" w:rsidP="006C3F72">
      <w:pPr>
        <w:pStyle w:val="Overskrift1"/>
      </w:pPr>
      <w:bookmarkStart w:id="6" w:name="_Toc484674623"/>
      <w:r w:rsidRPr="006C3F72">
        <w:t>K</w:t>
      </w:r>
      <w:r w:rsidR="000F670D" w:rsidRPr="006C3F72">
        <w:t>unstnerisk aktivitet</w:t>
      </w:r>
      <w:bookmarkEnd w:id="6"/>
    </w:p>
    <w:p w14:paraId="12C07F62" w14:textId="77777777" w:rsidR="000F670D" w:rsidRPr="006C3F72" w:rsidRDefault="00BD25E8" w:rsidP="006C3F72">
      <w:pPr>
        <w:pStyle w:val="Overskrift2"/>
      </w:pPr>
      <w:bookmarkStart w:id="7" w:name="_Toc484674624"/>
      <w:r w:rsidRPr="006C3F72">
        <w:t xml:space="preserve">Teatrets </w:t>
      </w:r>
      <w:r w:rsidR="000F670D" w:rsidRPr="006C3F72">
        <w:t>tradition og forestillinger</w:t>
      </w:r>
      <w:bookmarkEnd w:id="7"/>
    </w:p>
    <w:p w14:paraId="7DE37BA9" w14:textId="77777777" w:rsidR="004A31B7" w:rsidRDefault="008827DB" w:rsidP="000D0E77">
      <w:r>
        <w:t xml:space="preserve">Black Box Theatre </w:t>
      </w:r>
      <w:r w:rsidR="008E701C">
        <w:t xml:space="preserve">har gået fra en relativ smal kunstnerisk profil med </w:t>
      </w:r>
      <w:r w:rsidR="00BF7399">
        <w:t>primært musicals</w:t>
      </w:r>
      <w:r w:rsidR="008E701C">
        <w:t xml:space="preserve"> til aktuelt at have en trestre</w:t>
      </w:r>
      <w:r w:rsidR="003F7068">
        <w:t>nget kunstnerisk portefølje, med</w:t>
      </w:r>
      <w:r w:rsidR="004A31B7">
        <w:t xml:space="preserve"> tre </w:t>
      </w:r>
      <w:r w:rsidR="00D21FA5">
        <w:t xml:space="preserve">ret </w:t>
      </w:r>
      <w:r w:rsidR="004A31B7">
        <w:t>forskellige kunstneriske genre</w:t>
      </w:r>
      <w:r w:rsidR="005C6323">
        <w:t>r</w:t>
      </w:r>
      <w:r w:rsidR="004A31B7">
        <w:t>:</w:t>
      </w:r>
    </w:p>
    <w:p w14:paraId="1B0BF0EB" w14:textId="77777777" w:rsidR="004A31B7" w:rsidRDefault="004A31B7" w:rsidP="000D0E77"/>
    <w:p w14:paraId="342617DA" w14:textId="77777777" w:rsidR="004A31B7" w:rsidRDefault="004A31B7" w:rsidP="004A31B7">
      <w:pPr>
        <w:pStyle w:val="Listeafsnit"/>
        <w:numPr>
          <w:ilvl w:val="0"/>
          <w:numId w:val="27"/>
        </w:numPr>
      </w:pPr>
      <w:r w:rsidRPr="002E03F4">
        <w:rPr>
          <w:b/>
          <w:i/>
        </w:rPr>
        <w:t>Musicals/teaterkoncerter</w:t>
      </w:r>
      <w:r>
        <w:t xml:space="preserve">. </w:t>
      </w:r>
      <w:r w:rsidR="00626214">
        <w:t>Teatrets tradition</w:t>
      </w:r>
      <w:r w:rsidR="009F4BCE">
        <w:t xml:space="preserve"> </w:t>
      </w:r>
      <w:r w:rsidR="000D3172">
        <w:t>er videreudviklet</w:t>
      </w:r>
      <w:r w:rsidR="009F4BCE">
        <w:t xml:space="preserve"> </w:t>
      </w:r>
      <w:r w:rsidR="000D3172">
        <w:t>og teaterkoncert konceptet er søgt udviklet</w:t>
      </w:r>
      <w:r w:rsidR="00D90C7D">
        <w:t xml:space="preserve"> </w:t>
      </w:r>
      <w:r w:rsidR="000D3172">
        <w:t xml:space="preserve">med </w:t>
      </w:r>
      <w:r w:rsidR="00D90C7D">
        <w:t xml:space="preserve">mere </w:t>
      </w:r>
      <w:r w:rsidR="0032029A">
        <w:t>cross over mellem teaterkoncert og musical.</w:t>
      </w:r>
    </w:p>
    <w:p w14:paraId="346DCDAE" w14:textId="77777777" w:rsidR="004A31B7" w:rsidRDefault="004A31B7" w:rsidP="004A31B7">
      <w:pPr>
        <w:pStyle w:val="Listeafsnit"/>
        <w:numPr>
          <w:ilvl w:val="0"/>
          <w:numId w:val="27"/>
        </w:numPr>
      </w:pPr>
      <w:r w:rsidRPr="002E03F4">
        <w:rPr>
          <w:b/>
          <w:i/>
        </w:rPr>
        <w:t>Moderne dans</w:t>
      </w:r>
      <w:r>
        <w:t xml:space="preserve">. Egnsteatret </w:t>
      </w:r>
      <w:r w:rsidR="004F1F19">
        <w:t xml:space="preserve">har i 2013 </w:t>
      </w:r>
      <w:r>
        <w:t>tr</w:t>
      </w:r>
      <w:r w:rsidR="004F1F19">
        <w:t>u</w:t>
      </w:r>
      <w:r>
        <w:t>k</w:t>
      </w:r>
      <w:r w:rsidR="004F1F19">
        <w:t>ket Marie Brolin-Tani til sig,</w:t>
      </w:r>
      <w:r>
        <w:t xml:space="preserve"> idet teatret ønskede at styrke og udvide</w:t>
      </w:r>
      <w:r w:rsidR="004F1F19">
        <w:t xml:space="preserve"> den kunstneriske aktivitetsflade og med henblik på at videreføre og forny den dansetradition, Holstebro har haft gennem flere år</w:t>
      </w:r>
      <w:r>
        <w:t xml:space="preserve">. </w:t>
      </w:r>
    </w:p>
    <w:p w14:paraId="73784AA0" w14:textId="77777777" w:rsidR="004A31B7" w:rsidRDefault="004A31B7" w:rsidP="004A31B7">
      <w:pPr>
        <w:pStyle w:val="Listeafsnit"/>
        <w:numPr>
          <w:ilvl w:val="0"/>
          <w:numId w:val="27"/>
        </w:numPr>
      </w:pPr>
      <w:r w:rsidRPr="002E03F4">
        <w:rPr>
          <w:b/>
          <w:i/>
        </w:rPr>
        <w:t>Børneteater</w:t>
      </w:r>
      <w:r>
        <w:t xml:space="preserve">. </w:t>
      </w:r>
      <w:r w:rsidR="002E03F4">
        <w:t>S</w:t>
      </w:r>
      <w:r w:rsidR="00626214">
        <w:t>iden 2014</w:t>
      </w:r>
      <w:r w:rsidR="002E03F4">
        <w:t xml:space="preserve"> har teatret tilknyttet børneteaterkompagniet Teater O. </w:t>
      </w:r>
      <w:r w:rsidR="006A4649">
        <w:t>Her er der lavet en samarbejdsaftale frem til ultimo 2019.</w:t>
      </w:r>
    </w:p>
    <w:p w14:paraId="68D3C1BA" w14:textId="77777777" w:rsidR="004A31B7" w:rsidRDefault="004A31B7" w:rsidP="000D0E77"/>
    <w:p w14:paraId="1EBBE21A" w14:textId="77777777" w:rsidR="007353F0" w:rsidRDefault="00BF7399" w:rsidP="000D0E77">
      <w:r>
        <w:t>Udviklingen falder i tråd med teatrets udviklingsplaner</w:t>
      </w:r>
      <w:r w:rsidR="000A04D5">
        <w:t>, som teatret</w:t>
      </w:r>
      <w:r w:rsidR="00877AC3">
        <w:t xml:space="preserve"> formulerede dem i forbindelse med den tidligere evaluering</w:t>
      </w:r>
      <w:r>
        <w:t xml:space="preserve">. </w:t>
      </w:r>
      <w:r w:rsidR="00DB3E4B">
        <w:t xml:space="preserve">Teatrets </w:t>
      </w:r>
      <w:r>
        <w:t xml:space="preserve">aktuelle </w:t>
      </w:r>
      <w:r w:rsidR="00DB3E4B">
        <w:t xml:space="preserve">kunstneriske vision </w:t>
      </w:r>
      <w:r w:rsidR="007961AF">
        <w:t>drejer sig om, at teatret vil udvikle og producere nærværende og vedkommende forestil</w:t>
      </w:r>
      <w:r w:rsidR="005B45E6">
        <w:t>linger for børn, unge og voksen,</w:t>
      </w:r>
      <w:r w:rsidR="007961AF">
        <w:t xml:space="preserve"> </w:t>
      </w:r>
      <w:r w:rsidR="005B45E6">
        <w:t>f</w:t>
      </w:r>
      <w:r w:rsidR="007961AF">
        <w:t>ormidle scenekunst i lokalområdet og være en synlig p</w:t>
      </w:r>
      <w:r w:rsidR="00602AD3">
        <w:t>artner i Holstebros kulturliv, t</w:t>
      </w:r>
      <w:r w:rsidR="007961AF">
        <w:t>ilbyde oplevelser som man kun kan opleve i BBT og på højeste kunstneriske niveau</w:t>
      </w:r>
      <w:r w:rsidR="00DC7D99">
        <w:t xml:space="preserve"> – unikke i forhold t</w:t>
      </w:r>
      <w:r w:rsidR="00713EF2">
        <w:t>il de øvrige tilbud fra kulturkommunerne i regionen</w:t>
      </w:r>
      <w:r w:rsidR="00602AD3">
        <w:t xml:space="preserve">, samt </w:t>
      </w:r>
      <w:r w:rsidR="007961AF">
        <w:t>at udvikle pub</w:t>
      </w:r>
      <w:r w:rsidR="008E0F73">
        <w:t>l</w:t>
      </w:r>
      <w:r w:rsidR="007961AF">
        <w:t>ikums kunstneriske horisont.</w:t>
      </w:r>
      <w:r w:rsidR="00602AD3">
        <w:t xml:space="preserve"> </w:t>
      </w:r>
      <w:r w:rsidR="003B3128">
        <w:t xml:space="preserve">Supplerende ift. </w:t>
      </w:r>
      <w:r w:rsidR="00113441">
        <w:t xml:space="preserve">Black Box Dance Company </w:t>
      </w:r>
      <w:r w:rsidR="00602AD3">
        <w:t xml:space="preserve">er det visionen </w:t>
      </w:r>
      <w:r w:rsidR="003B3128">
        <w:t>at d</w:t>
      </w:r>
      <w:r w:rsidR="00602AD3">
        <w:t>ansen</w:t>
      </w:r>
      <w:r w:rsidR="003B3128">
        <w:t xml:space="preserve"> skal </w:t>
      </w:r>
      <w:r w:rsidR="00602AD3">
        <w:t>appeller</w:t>
      </w:r>
      <w:r w:rsidR="003B3128">
        <w:t>e</w:t>
      </w:r>
      <w:r w:rsidR="00602AD3">
        <w:t xml:space="preserve"> til</w:t>
      </w:r>
      <w:r w:rsidR="003B3128">
        <w:t xml:space="preserve"> et stort og bredt publikum og nedbryde de fordomme, der måtte være omkring moderne dans. </w:t>
      </w:r>
      <w:r w:rsidR="00AC38DA">
        <w:t>Herudover ønsker Black Box Theatre at prioritere turnévirksomhed og at fortsætte samarbejdet med (større) producerende teatre med henblik på samproduktion.</w:t>
      </w:r>
    </w:p>
    <w:p w14:paraId="28DDB7A5" w14:textId="77777777" w:rsidR="00DB3E4B" w:rsidRDefault="00DB3E4B" w:rsidP="000D0E77"/>
    <w:p w14:paraId="5CDAF142" w14:textId="77777777" w:rsidR="00D04697" w:rsidRDefault="00A84E59" w:rsidP="00362651">
      <w:r>
        <w:t xml:space="preserve">I den følgende tabel opgøres aktivitetsniveau, antal produktioner, forestillinger og publikum for 2013-15. Her ses </w:t>
      </w:r>
      <w:r w:rsidR="00617388">
        <w:t>bl.a.</w:t>
      </w:r>
      <w:r>
        <w:t xml:space="preserve">, at </w:t>
      </w:r>
      <w:r w:rsidR="005C6323">
        <w:t xml:space="preserve">Black Box Theatre </w:t>
      </w:r>
      <w:r w:rsidR="00265237">
        <w:t xml:space="preserve">i </w:t>
      </w:r>
      <w:r w:rsidR="004A0AE1">
        <w:t>den treårige periode</w:t>
      </w:r>
      <w:r w:rsidR="00265237">
        <w:t xml:space="preserve"> </w:t>
      </w:r>
      <w:r w:rsidR="004A0AE1">
        <w:t xml:space="preserve">har </w:t>
      </w:r>
      <w:r w:rsidR="0042033B">
        <w:t>vist 15</w:t>
      </w:r>
      <w:r w:rsidR="004B543C">
        <w:t xml:space="preserve"> </w:t>
      </w:r>
      <w:r w:rsidR="004747F9">
        <w:t>egen- og sam</w:t>
      </w:r>
      <w:r w:rsidR="0042033B">
        <w:t>p</w:t>
      </w:r>
      <w:r w:rsidR="00796E8E">
        <w:t>roduktioner, med i alt lokale 89</w:t>
      </w:r>
      <w:r w:rsidR="0042033B">
        <w:t xml:space="preserve"> visninger </w:t>
      </w:r>
      <w:r w:rsidR="00A30DA3">
        <w:t>og</w:t>
      </w:r>
      <w:r w:rsidR="00265237">
        <w:t xml:space="preserve"> </w:t>
      </w:r>
      <w:r w:rsidR="0042033B">
        <w:t>38.571</w:t>
      </w:r>
      <w:r w:rsidR="00265237">
        <w:t xml:space="preserve"> </w:t>
      </w:r>
      <w:r w:rsidR="00BC284B">
        <w:t xml:space="preserve">lokale </w:t>
      </w:r>
      <w:r w:rsidR="002128E7">
        <w:t>publikummer</w:t>
      </w:r>
      <w:r w:rsidR="003F6C4B">
        <w:t>.</w:t>
      </w:r>
      <w:r w:rsidR="00F93921">
        <w:t xml:space="preserve"> </w:t>
      </w:r>
      <w:r w:rsidR="005B45E6">
        <w:t xml:space="preserve">Turnévirksomheden er </w:t>
      </w:r>
      <w:r w:rsidR="009D6D4D">
        <w:t xml:space="preserve">også </w:t>
      </w:r>
      <w:r w:rsidR="005B45E6">
        <w:t>omfattende, og publikumst</w:t>
      </w:r>
      <w:r w:rsidR="00AC38DA">
        <w:t>ilslutning</w:t>
      </w:r>
      <w:r w:rsidR="000A04D5">
        <w:t>en</w:t>
      </w:r>
      <w:r w:rsidR="00AC38DA">
        <w:t xml:space="preserve"> </w:t>
      </w:r>
      <w:r w:rsidR="005B45E6">
        <w:t>hertil høj</w:t>
      </w:r>
      <w:r w:rsidR="00807382">
        <w:t>.</w:t>
      </w:r>
      <w:r w:rsidR="00E17575">
        <w:t xml:space="preserve"> Hertil kommer Holstebro Revyen (2014); revyen er herefter besluttet lagt over i regi af Musikteatret. </w:t>
      </w:r>
      <w:r w:rsidR="00D95F03">
        <w:t xml:space="preserve">Baseret på informationer fra de adspurgte er aktivitetsniveauet </w:t>
      </w:r>
      <w:r w:rsidR="00F83BC9">
        <w:t xml:space="preserve">i </w:t>
      </w:r>
      <w:r w:rsidR="00D95F03">
        <w:t xml:space="preserve">både 2016 og 17 på </w:t>
      </w:r>
      <w:r w:rsidR="00463DE1">
        <w:t xml:space="preserve">et stadig stigende </w:t>
      </w:r>
      <w:r w:rsidR="00D95F03">
        <w:t>niveau.</w:t>
      </w:r>
    </w:p>
    <w:p w14:paraId="56665348" w14:textId="77777777" w:rsidR="009E53C1" w:rsidRDefault="009E53C1" w:rsidP="000D0E77"/>
    <w:p w14:paraId="2E95D6FC" w14:textId="77777777" w:rsidR="00C24B0A" w:rsidRDefault="00C24B0A" w:rsidP="00C24B0A">
      <w:pPr>
        <w:pStyle w:val="Billedtekst"/>
        <w:rPr>
          <w:color w:val="FF0000"/>
        </w:rPr>
      </w:pPr>
      <w:r w:rsidRPr="00C24B0A">
        <w:t xml:space="preserve">Tabel </w:t>
      </w:r>
      <w:r w:rsidR="00877FAB">
        <w:fldChar w:fldCharType="begin"/>
      </w:r>
      <w:r w:rsidR="00877FAB">
        <w:instrText xml:space="preserve"> SEQ Tabel \* ARABIC </w:instrText>
      </w:r>
      <w:r w:rsidR="00877FAB">
        <w:fldChar w:fldCharType="separate"/>
      </w:r>
      <w:r w:rsidR="0025703B">
        <w:rPr>
          <w:noProof/>
        </w:rPr>
        <w:t>3</w:t>
      </w:r>
      <w:r w:rsidR="00877FAB">
        <w:rPr>
          <w:noProof/>
        </w:rPr>
        <w:fldChar w:fldCharType="end"/>
      </w:r>
      <w:r w:rsidRPr="00C24B0A">
        <w:t>: Antal produktioner, forestillinger og publikummer</w:t>
      </w:r>
      <w:r w:rsidR="0066162B" w:rsidRPr="0066162B">
        <w:rPr>
          <w:color w:val="FF0000"/>
        </w:rPr>
        <w:t xml:space="preserve"> </w:t>
      </w:r>
    </w:p>
    <w:tbl>
      <w:tblPr>
        <w:tblStyle w:val="Tabel-Gitter21"/>
        <w:tblW w:w="5018" w:type="pct"/>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Look w:val="04A0" w:firstRow="1" w:lastRow="0" w:firstColumn="1" w:lastColumn="0" w:noHBand="0" w:noVBand="1"/>
      </w:tblPr>
      <w:tblGrid>
        <w:gridCol w:w="1738"/>
        <w:gridCol w:w="4091"/>
        <w:gridCol w:w="959"/>
        <w:gridCol w:w="959"/>
        <w:gridCol w:w="959"/>
        <w:gridCol w:w="957"/>
      </w:tblGrid>
      <w:tr w:rsidR="009E2868" w:rsidRPr="009E2868" w14:paraId="7757F81B" w14:textId="77777777" w:rsidTr="009E2868">
        <w:trPr>
          <w:tblHeader/>
        </w:trPr>
        <w:tc>
          <w:tcPr>
            <w:tcW w:w="900" w:type="pct"/>
            <w:tcBorders>
              <w:top w:val="single" w:sz="4" w:space="0" w:color="403152" w:themeColor="accent3"/>
              <w:left w:val="single" w:sz="4" w:space="0" w:color="403152" w:themeColor="accent3"/>
              <w:bottom w:val="single" w:sz="4" w:space="0" w:color="403152" w:themeColor="accent3"/>
              <w:right w:val="single" w:sz="4" w:space="0" w:color="403152" w:themeColor="accent3"/>
            </w:tcBorders>
            <w:shd w:val="clear" w:color="auto" w:fill="403152" w:themeFill="accent3"/>
          </w:tcPr>
          <w:p w14:paraId="4565559E" w14:textId="77777777" w:rsidR="009E2868" w:rsidRPr="009E2868" w:rsidRDefault="009E2868" w:rsidP="009E2868">
            <w:pPr>
              <w:spacing w:before="40" w:after="40"/>
              <w:rPr>
                <w:b/>
                <w:color w:val="FFFFFF" w:themeColor="background1"/>
                <w:sz w:val="18"/>
                <w:szCs w:val="18"/>
              </w:rPr>
            </w:pPr>
          </w:p>
        </w:tc>
        <w:tc>
          <w:tcPr>
            <w:tcW w:w="2117" w:type="pct"/>
            <w:tcBorders>
              <w:top w:val="single" w:sz="4" w:space="0" w:color="403152" w:themeColor="accent3"/>
              <w:left w:val="single" w:sz="4" w:space="0" w:color="403152" w:themeColor="accent3"/>
              <w:bottom w:val="single" w:sz="4" w:space="0" w:color="403152" w:themeColor="accent3"/>
              <w:right w:val="single" w:sz="4" w:space="0" w:color="FFFFFF" w:themeColor="background1"/>
            </w:tcBorders>
            <w:shd w:val="clear" w:color="auto" w:fill="403152" w:themeFill="accent3"/>
          </w:tcPr>
          <w:p w14:paraId="5B926098" w14:textId="77777777" w:rsidR="009E2868" w:rsidRPr="009E2868" w:rsidRDefault="009E2868" w:rsidP="009E2868">
            <w:pPr>
              <w:spacing w:before="40" w:after="40"/>
              <w:rPr>
                <w:b/>
                <w:color w:val="FFFFFF" w:themeColor="background1"/>
                <w:sz w:val="18"/>
                <w:szCs w:val="18"/>
              </w:rPr>
            </w:pPr>
            <w:r w:rsidRPr="009E2868">
              <w:rPr>
                <w:b/>
                <w:color w:val="FFFFFF" w:themeColor="background1"/>
                <w:sz w:val="18"/>
                <w:szCs w:val="18"/>
              </w:rPr>
              <w:t>Produktioner</w:t>
            </w:r>
          </w:p>
        </w:tc>
        <w:tc>
          <w:tcPr>
            <w:tcW w:w="992" w:type="pct"/>
            <w:gridSpan w:val="2"/>
            <w:tcBorders>
              <w:top w:val="single" w:sz="4" w:space="0" w:color="403152" w:themeColor="accent3"/>
              <w:left w:val="single" w:sz="4" w:space="0" w:color="FFFFFF" w:themeColor="background1"/>
              <w:bottom w:val="single" w:sz="4" w:space="0" w:color="403152" w:themeColor="accent3"/>
              <w:right w:val="single" w:sz="4" w:space="0" w:color="FFFFFF" w:themeColor="background1"/>
            </w:tcBorders>
            <w:shd w:val="clear" w:color="auto" w:fill="403152" w:themeFill="accent3"/>
          </w:tcPr>
          <w:p w14:paraId="19908B07" w14:textId="77777777" w:rsidR="009E2868" w:rsidRPr="009E2868" w:rsidRDefault="009E2868" w:rsidP="009E2868">
            <w:pPr>
              <w:spacing w:before="40" w:after="40"/>
              <w:jc w:val="center"/>
              <w:rPr>
                <w:b/>
                <w:color w:val="FFFFFF" w:themeColor="background1"/>
                <w:sz w:val="18"/>
                <w:szCs w:val="18"/>
              </w:rPr>
            </w:pPr>
            <w:r w:rsidRPr="009E2868">
              <w:rPr>
                <w:b/>
                <w:color w:val="FFFFFF" w:themeColor="background1"/>
                <w:sz w:val="18"/>
                <w:szCs w:val="18"/>
              </w:rPr>
              <w:t>Forestillinger</w:t>
            </w:r>
          </w:p>
        </w:tc>
        <w:tc>
          <w:tcPr>
            <w:tcW w:w="991" w:type="pct"/>
            <w:gridSpan w:val="2"/>
            <w:tcBorders>
              <w:top w:val="single" w:sz="4" w:space="0" w:color="403152" w:themeColor="accent3"/>
              <w:left w:val="single" w:sz="4" w:space="0" w:color="FFFFFF" w:themeColor="background1"/>
              <w:bottom w:val="single" w:sz="4" w:space="0" w:color="403152" w:themeColor="accent3"/>
              <w:right w:val="single" w:sz="4" w:space="0" w:color="403152" w:themeColor="accent3"/>
            </w:tcBorders>
            <w:shd w:val="clear" w:color="auto" w:fill="403152" w:themeFill="accent3"/>
          </w:tcPr>
          <w:p w14:paraId="59323CEB" w14:textId="77777777" w:rsidR="009E2868" w:rsidRPr="009E2868" w:rsidRDefault="009E2868" w:rsidP="009E2868">
            <w:pPr>
              <w:spacing w:before="40" w:after="40"/>
              <w:jc w:val="center"/>
              <w:rPr>
                <w:b/>
                <w:color w:val="FFFFFF" w:themeColor="background1"/>
                <w:sz w:val="18"/>
                <w:szCs w:val="18"/>
              </w:rPr>
            </w:pPr>
            <w:r w:rsidRPr="009E2868">
              <w:rPr>
                <w:b/>
                <w:color w:val="FFFFFF" w:themeColor="background1"/>
                <w:sz w:val="18"/>
                <w:szCs w:val="18"/>
              </w:rPr>
              <w:t>Publikummer</w:t>
            </w:r>
          </w:p>
        </w:tc>
      </w:tr>
      <w:tr w:rsidR="009E2868" w:rsidRPr="009E2868" w14:paraId="0DD07EF5" w14:textId="77777777" w:rsidTr="009E2868">
        <w:tc>
          <w:tcPr>
            <w:tcW w:w="900"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4D623DD" w14:textId="77777777" w:rsidR="009E2868" w:rsidRPr="009E2868" w:rsidRDefault="009E2868" w:rsidP="009E2868">
            <w:pPr>
              <w:spacing w:before="40" w:after="40"/>
              <w:rPr>
                <w:b/>
                <w:i/>
                <w:sz w:val="18"/>
                <w:szCs w:val="18"/>
              </w:rPr>
            </w:pPr>
            <w:r w:rsidRPr="009E2868">
              <w:rPr>
                <w:b/>
                <w:i/>
                <w:sz w:val="18"/>
                <w:szCs w:val="18"/>
              </w:rPr>
              <w:t>Produktioner – 201</w:t>
            </w:r>
            <w:r>
              <w:rPr>
                <w:b/>
                <w:i/>
                <w:sz w:val="18"/>
                <w:szCs w:val="18"/>
              </w:rPr>
              <w:t>3</w:t>
            </w:r>
            <w:r w:rsidRPr="009E2868">
              <w:rPr>
                <w:b/>
                <w:i/>
                <w:sz w:val="18"/>
                <w:szCs w:val="18"/>
              </w:rPr>
              <w:t xml:space="preserve"> </w:t>
            </w:r>
          </w:p>
        </w:tc>
        <w:tc>
          <w:tcPr>
            <w:tcW w:w="2117"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262A9919" w14:textId="77777777" w:rsidR="009E2868" w:rsidRPr="009E2868" w:rsidRDefault="009E2868" w:rsidP="009E2868">
            <w:pPr>
              <w:spacing w:before="40" w:after="40"/>
              <w:rPr>
                <w:b/>
                <w:sz w:val="18"/>
                <w:szCs w:val="18"/>
              </w:rPr>
            </w:pP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4B401651"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74A51124" w14:textId="77777777" w:rsidR="009E2868" w:rsidRPr="009E2868" w:rsidRDefault="009E2868" w:rsidP="009E2868">
            <w:pPr>
              <w:spacing w:before="40" w:after="40"/>
              <w:jc w:val="right"/>
              <w:rPr>
                <w:b/>
                <w:i/>
                <w:sz w:val="18"/>
                <w:szCs w:val="18"/>
              </w:rPr>
            </w:pPr>
            <w:r w:rsidRPr="009E2868">
              <w:rPr>
                <w:b/>
                <w:i/>
                <w:sz w:val="18"/>
                <w:szCs w:val="18"/>
              </w:rPr>
              <w:t>Turné</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7B8F8B9C"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5"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4CEBD17D" w14:textId="77777777" w:rsidR="009E2868" w:rsidRPr="009E2868" w:rsidRDefault="009E2868" w:rsidP="009E2868">
            <w:pPr>
              <w:spacing w:before="40" w:after="40"/>
              <w:jc w:val="right"/>
              <w:rPr>
                <w:b/>
                <w:i/>
                <w:sz w:val="18"/>
                <w:szCs w:val="18"/>
              </w:rPr>
            </w:pPr>
            <w:r w:rsidRPr="009E2868">
              <w:rPr>
                <w:b/>
                <w:i/>
                <w:sz w:val="18"/>
                <w:szCs w:val="18"/>
              </w:rPr>
              <w:t>Turné</w:t>
            </w:r>
          </w:p>
        </w:tc>
      </w:tr>
      <w:tr w:rsidR="009E2868" w:rsidRPr="009E2868" w14:paraId="645B2F91"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2A3289E" w14:textId="77777777" w:rsidR="009E2868" w:rsidRPr="009E2868" w:rsidRDefault="009E2868" w:rsidP="009E2868">
            <w:pPr>
              <w:spacing w:before="40" w:after="40"/>
              <w:rPr>
                <w:i/>
                <w:sz w:val="18"/>
                <w:szCs w:val="18"/>
              </w:rPr>
            </w:pPr>
            <w:r w:rsidRPr="009E2868">
              <w:rPr>
                <w:i/>
                <w:sz w:val="18"/>
                <w:szCs w:val="18"/>
              </w:rPr>
              <w:t>Egenproduktion: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859DDF0" w14:textId="77777777" w:rsidR="009E2868" w:rsidRDefault="009E2868" w:rsidP="009E2868">
            <w:pPr>
              <w:numPr>
                <w:ilvl w:val="0"/>
                <w:numId w:val="23"/>
              </w:numPr>
              <w:spacing w:before="40" w:after="40"/>
              <w:ind w:left="357" w:hanging="357"/>
              <w:contextualSpacing/>
              <w:rPr>
                <w:rFonts w:ascii="Calibri" w:hAnsi="Calibri"/>
                <w:sz w:val="18"/>
                <w:szCs w:val="18"/>
              </w:rPr>
            </w:pPr>
            <w:r>
              <w:rPr>
                <w:rFonts w:ascii="Calibri" w:hAnsi="Calibri"/>
                <w:sz w:val="18"/>
                <w:szCs w:val="18"/>
              </w:rPr>
              <w:t>Viva Vive</w:t>
            </w:r>
          </w:p>
          <w:p w14:paraId="4AA3FDEE" w14:textId="77777777" w:rsidR="009E2868" w:rsidRPr="009E2868" w:rsidRDefault="009E2868" w:rsidP="009E2868">
            <w:pPr>
              <w:numPr>
                <w:ilvl w:val="0"/>
                <w:numId w:val="23"/>
              </w:numPr>
              <w:spacing w:before="40" w:after="40"/>
              <w:ind w:left="357" w:hanging="357"/>
              <w:contextualSpacing/>
              <w:rPr>
                <w:rFonts w:ascii="Calibri" w:hAnsi="Calibri"/>
                <w:sz w:val="18"/>
                <w:szCs w:val="18"/>
              </w:rPr>
            </w:pPr>
            <w:r>
              <w:rPr>
                <w:rFonts w:ascii="Calibri" w:hAnsi="Calibri"/>
                <w:sz w:val="18"/>
                <w:szCs w:val="18"/>
              </w:rPr>
              <w:t>Du er fuld af løgn</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05160B7" w14:textId="77777777" w:rsidR="009E2868" w:rsidRPr="009E2868" w:rsidRDefault="009E2868" w:rsidP="009E2868">
            <w:pPr>
              <w:spacing w:before="40" w:after="40"/>
              <w:jc w:val="right"/>
              <w:rPr>
                <w:sz w:val="18"/>
                <w:szCs w:val="18"/>
              </w:rPr>
            </w:pPr>
            <w:r>
              <w:rPr>
                <w:sz w:val="18"/>
                <w:szCs w:val="18"/>
              </w:rPr>
              <w:t>5</w:t>
            </w:r>
            <w:r>
              <w:rPr>
                <w:sz w:val="18"/>
                <w:szCs w:val="18"/>
              </w:rPr>
              <w:br/>
              <w:t>3</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CF80A60" w14:textId="77777777" w:rsidR="009E2868" w:rsidRPr="009E2868" w:rsidRDefault="009E2868" w:rsidP="009E2868">
            <w:pPr>
              <w:spacing w:before="40" w:after="40"/>
              <w:jc w:val="right"/>
              <w:rPr>
                <w:sz w:val="18"/>
                <w:szCs w:val="18"/>
              </w:rPr>
            </w:pPr>
            <w:r>
              <w:rPr>
                <w:sz w:val="18"/>
                <w:szCs w:val="18"/>
              </w:rPr>
              <w:t>2</w:t>
            </w:r>
            <w:r>
              <w:rPr>
                <w:sz w:val="18"/>
                <w:szCs w:val="18"/>
              </w:rPr>
              <w:br/>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2B2B9B2" w14:textId="77777777" w:rsidR="009E2868" w:rsidRPr="009E2868" w:rsidRDefault="009E2868" w:rsidP="009E2868">
            <w:pPr>
              <w:spacing w:before="40" w:after="40"/>
              <w:jc w:val="right"/>
              <w:rPr>
                <w:sz w:val="18"/>
                <w:szCs w:val="18"/>
              </w:rPr>
            </w:pPr>
            <w:r>
              <w:rPr>
                <w:sz w:val="18"/>
                <w:szCs w:val="18"/>
              </w:rPr>
              <w:t>1.200</w:t>
            </w:r>
            <w:r>
              <w:rPr>
                <w:sz w:val="18"/>
                <w:szCs w:val="18"/>
              </w:rPr>
              <w:br/>
              <w:t>1.000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4D8AE40A" w14:textId="77777777" w:rsidR="009E2868" w:rsidRPr="009E2868" w:rsidRDefault="009E2868" w:rsidP="009E2868">
            <w:pPr>
              <w:spacing w:before="40" w:after="40"/>
              <w:jc w:val="right"/>
              <w:rPr>
                <w:sz w:val="18"/>
                <w:szCs w:val="18"/>
              </w:rPr>
            </w:pPr>
            <w:r>
              <w:rPr>
                <w:sz w:val="18"/>
                <w:szCs w:val="18"/>
              </w:rPr>
              <w:t>1.400</w:t>
            </w:r>
          </w:p>
        </w:tc>
      </w:tr>
      <w:tr w:rsidR="009E2868" w:rsidRPr="009E2868" w14:paraId="53062522"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93CC903" w14:textId="77777777" w:rsidR="009E2868" w:rsidRPr="009E2868" w:rsidRDefault="009E2868" w:rsidP="009E2868">
            <w:pPr>
              <w:spacing w:before="40" w:after="40"/>
              <w:rPr>
                <w:i/>
                <w:sz w:val="18"/>
                <w:szCs w:val="18"/>
              </w:rPr>
            </w:pPr>
            <w:r w:rsidRPr="009E2868">
              <w:rPr>
                <w:i/>
                <w:sz w:val="18"/>
                <w:szCs w:val="18"/>
              </w:rPr>
              <w:t>Samproduktion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4BF82AD1" w14:textId="77777777" w:rsidR="009E2868" w:rsidRDefault="009E2868" w:rsidP="009E2868">
            <w:pPr>
              <w:numPr>
                <w:ilvl w:val="0"/>
                <w:numId w:val="23"/>
              </w:numPr>
              <w:spacing w:before="40" w:after="40"/>
              <w:ind w:left="357" w:hanging="357"/>
              <w:contextualSpacing/>
              <w:rPr>
                <w:rFonts w:ascii="Calibri" w:hAnsi="Calibri"/>
                <w:sz w:val="18"/>
                <w:szCs w:val="18"/>
              </w:rPr>
            </w:pPr>
            <w:r>
              <w:rPr>
                <w:rFonts w:ascii="Calibri" w:hAnsi="Calibri"/>
                <w:sz w:val="18"/>
                <w:szCs w:val="18"/>
              </w:rPr>
              <w:t>Carmen (med Bellevue Teater)</w:t>
            </w:r>
          </w:p>
          <w:p w14:paraId="0A8F6CA5" w14:textId="77777777" w:rsidR="009E2868" w:rsidRDefault="009E2868" w:rsidP="009E2868">
            <w:pPr>
              <w:numPr>
                <w:ilvl w:val="0"/>
                <w:numId w:val="23"/>
              </w:numPr>
              <w:spacing w:before="40" w:after="40"/>
              <w:ind w:left="357" w:hanging="357"/>
              <w:contextualSpacing/>
              <w:rPr>
                <w:rFonts w:ascii="Calibri" w:hAnsi="Calibri"/>
                <w:sz w:val="18"/>
                <w:szCs w:val="18"/>
              </w:rPr>
            </w:pPr>
            <w:r>
              <w:rPr>
                <w:rFonts w:ascii="Calibri" w:hAnsi="Calibri"/>
                <w:sz w:val="18"/>
                <w:szCs w:val="18"/>
              </w:rPr>
              <w:t>M&amp;T Teaterkoncert (sammen med</w:t>
            </w:r>
            <w:r w:rsidR="00BC284B">
              <w:rPr>
                <w:rFonts w:ascii="Calibri" w:hAnsi="Calibri"/>
                <w:sz w:val="18"/>
                <w:szCs w:val="18"/>
              </w:rPr>
              <w:t xml:space="preserve"> Musical og Teaterlinjen i Dansk Talentakademi (M&amp;T)</w:t>
            </w:r>
            <w:r>
              <w:rPr>
                <w:rFonts w:ascii="Calibri" w:hAnsi="Calibri"/>
                <w:sz w:val="18"/>
                <w:szCs w:val="18"/>
              </w:rPr>
              <w:t>)</w:t>
            </w:r>
          </w:p>
          <w:p w14:paraId="3B47ABD1" w14:textId="77777777" w:rsidR="009E2868" w:rsidRPr="009E2868" w:rsidRDefault="009E2868" w:rsidP="009E2868">
            <w:pPr>
              <w:numPr>
                <w:ilvl w:val="0"/>
                <w:numId w:val="23"/>
              </w:numPr>
              <w:spacing w:before="40" w:after="40"/>
              <w:ind w:left="357" w:hanging="357"/>
              <w:contextualSpacing/>
              <w:rPr>
                <w:rFonts w:ascii="Calibri" w:hAnsi="Calibri"/>
                <w:sz w:val="18"/>
                <w:szCs w:val="18"/>
              </w:rPr>
            </w:pPr>
            <w:r>
              <w:rPr>
                <w:rFonts w:ascii="Calibri" w:hAnsi="Calibri"/>
                <w:sz w:val="18"/>
                <w:szCs w:val="18"/>
              </w:rPr>
              <w:t>Julemanden og den farlige forbryder (med Holbæk Teater)</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47973B68" w14:textId="77777777" w:rsidR="00D04697" w:rsidRDefault="009E2868" w:rsidP="009E2868">
            <w:pPr>
              <w:spacing w:before="40" w:after="40"/>
              <w:jc w:val="right"/>
              <w:rPr>
                <w:sz w:val="18"/>
                <w:szCs w:val="18"/>
              </w:rPr>
            </w:pPr>
            <w:r>
              <w:rPr>
                <w:sz w:val="18"/>
                <w:szCs w:val="18"/>
              </w:rPr>
              <w:t>8</w:t>
            </w:r>
            <w:r>
              <w:rPr>
                <w:sz w:val="18"/>
                <w:szCs w:val="18"/>
              </w:rPr>
              <w:br/>
            </w:r>
          </w:p>
          <w:p w14:paraId="0FCECD64" w14:textId="77777777" w:rsidR="009E2868" w:rsidRPr="009E2868" w:rsidRDefault="009E2868" w:rsidP="00D04697">
            <w:pPr>
              <w:spacing w:before="40" w:after="40"/>
              <w:jc w:val="right"/>
              <w:rPr>
                <w:sz w:val="18"/>
                <w:szCs w:val="18"/>
              </w:rPr>
            </w:pPr>
            <w:r>
              <w:rPr>
                <w:sz w:val="18"/>
                <w:szCs w:val="18"/>
              </w:rPr>
              <w:t>2</w:t>
            </w:r>
            <w:r>
              <w:rPr>
                <w:sz w:val="18"/>
                <w:szCs w:val="18"/>
              </w:rPr>
              <w:br/>
              <w:t>7</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BAA292F" w14:textId="77777777" w:rsidR="00D04697" w:rsidRDefault="009E2868" w:rsidP="009E2868">
            <w:pPr>
              <w:spacing w:before="40" w:after="40"/>
              <w:jc w:val="right"/>
              <w:rPr>
                <w:sz w:val="18"/>
                <w:szCs w:val="18"/>
              </w:rPr>
            </w:pPr>
            <w:r>
              <w:rPr>
                <w:sz w:val="18"/>
                <w:szCs w:val="18"/>
              </w:rPr>
              <w:t>20</w:t>
            </w:r>
            <w:r>
              <w:rPr>
                <w:sz w:val="18"/>
                <w:szCs w:val="18"/>
              </w:rPr>
              <w:br/>
            </w:r>
            <w:r>
              <w:rPr>
                <w:sz w:val="18"/>
                <w:szCs w:val="18"/>
              </w:rPr>
              <w:br/>
            </w:r>
          </w:p>
          <w:p w14:paraId="19FA97DD" w14:textId="77777777" w:rsidR="009E2868" w:rsidRPr="009E2868" w:rsidRDefault="009E2868" w:rsidP="009E2868">
            <w:pPr>
              <w:spacing w:before="40" w:after="40"/>
              <w:jc w:val="right"/>
              <w:rPr>
                <w:sz w:val="18"/>
                <w:szCs w:val="18"/>
              </w:rPr>
            </w:pPr>
            <w:r>
              <w:rPr>
                <w:sz w:val="18"/>
                <w:szCs w:val="18"/>
              </w:rPr>
              <w:t>12</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3DA0BE12" w14:textId="77777777" w:rsidR="00D04697" w:rsidRDefault="009E2868" w:rsidP="009E2868">
            <w:pPr>
              <w:spacing w:before="40" w:after="40"/>
              <w:jc w:val="right"/>
              <w:rPr>
                <w:sz w:val="18"/>
                <w:szCs w:val="18"/>
              </w:rPr>
            </w:pPr>
            <w:r>
              <w:rPr>
                <w:sz w:val="18"/>
                <w:szCs w:val="18"/>
              </w:rPr>
              <w:t>5.000</w:t>
            </w:r>
            <w:r>
              <w:rPr>
                <w:sz w:val="18"/>
                <w:szCs w:val="18"/>
              </w:rPr>
              <w:br/>
            </w:r>
          </w:p>
          <w:p w14:paraId="5AA888A3" w14:textId="77777777" w:rsidR="009E2868" w:rsidRPr="009E2868" w:rsidRDefault="009E2868" w:rsidP="009E2868">
            <w:pPr>
              <w:spacing w:before="40" w:after="40"/>
              <w:jc w:val="right"/>
              <w:rPr>
                <w:sz w:val="18"/>
                <w:szCs w:val="18"/>
              </w:rPr>
            </w:pPr>
            <w:r>
              <w:rPr>
                <w:sz w:val="18"/>
                <w:szCs w:val="18"/>
              </w:rPr>
              <w:t>900</w:t>
            </w:r>
            <w:r>
              <w:rPr>
                <w:sz w:val="18"/>
                <w:szCs w:val="18"/>
              </w:rPr>
              <w:br/>
              <w:t>3.500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E8EB5BA" w14:textId="77777777" w:rsidR="00D04697" w:rsidRDefault="009E2868" w:rsidP="009E2868">
            <w:pPr>
              <w:spacing w:before="40" w:after="40"/>
              <w:jc w:val="right"/>
              <w:rPr>
                <w:sz w:val="18"/>
                <w:szCs w:val="18"/>
              </w:rPr>
            </w:pPr>
            <w:r>
              <w:rPr>
                <w:sz w:val="18"/>
                <w:szCs w:val="18"/>
              </w:rPr>
              <w:t>10.000</w:t>
            </w:r>
            <w:r>
              <w:rPr>
                <w:sz w:val="18"/>
                <w:szCs w:val="18"/>
              </w:rPr>
              <w:br/>
            </w:r>
            <w:r>
              <w:rPr>
                <w:sz w:val="18"/>
                <w:szCs w:val="18"/>
              </w:rPr>
              <w:br/>
            </w:r>
          </w:p>
          <w:p w14:paraId="13DE5240" w14:textId="77777777" w:rsidR="009E2868" w:rsidRPr="009E2868" w:rsidRDefault="009E2868" w:rsidP="009E2868">
            <w:pPr>
              <w:spacing w:before="40" w:after="40"/>
              <w:jc w:val="right"/>
              <w:rPr>
                <w:sz w:val="18"/>
                <w:szCs w:val="18"/>
              </w:rPr>
            </w:pPr>
            <w:r>
              <w:rPr>
                <w:sz w:val="18"/>
                <w:szCs w:val="18"/>
              </w:rPr>
              <w:t>4.500</w:t>
            </w:r>
          </w:p>
        </w:tc>
      </w:tr>
      <w:tr w:rsidR="009E2868" w:rsidRPr="009E2868" w14:paraId="5F210A70"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DCB78EC" w14:textId="77777777" w:rsidR="009E2868" w:rsidRPr="009E2868" w:rsidRDefault="009E2868" w:rsidP="009E2868">
            <w:pPr>
              <w:spacing w:before="40" w:after="40"/>
              <w:rPr>
                <w:i/>
                <w:sz w:val="18"/>
                <w:szCs w:val="18"/>
              </w:rPr>
            </w:pPr>
            <w:r w:rsidRPr="009E2868">
              <w:rPr>
                <w:i/>
                <w:sz w:val="18"/>
                <w:szCs w:val="18"/>
              </w:rPr>
              <w:t>Gæstespil</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1EABAF7" w14:textId="77777777" w:rsidR="009E2868" w:rsidRPr="00D04697" w:rsidRDefault="009E2868" w:rsidP="009E2868">
            <w:pPr>
              <w:numPr>
                <w:ilvl w:val="0"/>
                <w:numId w:val="24"/>
              </w:numPr>
              <w:spacing w:before="40" w:after="40"/>
              <w:ind w:left="357" w:hanging="357"/>
              <w:contextualSpacing/>
              <w:rPr>
                <w:rFonts w:ascii="Calibri" w:hAnsi="Calibri"/>
                <w:sz w:val="18"/>
                <w:szCs w:val="18"/>
              </w:rPr>
            </w:pPr>
            <w:r w:rsidRPr="00D04697">
              <w:rPr>
                <w:rFonts w:ascii="Calibri" w:hAnsi="Calibri"/>
                <w:sz w:val="18"/>
                <w:szCs w:val="18"/>
              </w:rPr>
              <w:t>Hr. Skæg</w:t>
            </w:r>
          </w:p>
          <w:p w14:paraId="55138FA3" w14:textId="77777777" w:rsidR="009E2868" w:rsidRPr="00D04697" w:rsidRDefault="009E2868" w:rsidP="009E2868">
            <w:pPr>
              <w:numPr>
                <w:ilvl w:val="0"/>
                <w:numId w:val="24"/>
              </w:numPr>
              <w:spacing w:before="40" w:after="40"/>
              <w:ind w:left="357" w:hanging="357"/>
              <w:contextualSpacing/>
              <w:rPr>
                <w:rFonts w:ascii="Calibri" w:hAnsi="Calibri"/>
                <w:sz w:val="18"/>
                <w:szCs w:val="18"/>
              </w:rPr>
            </w:pPr>
            <w:r w:rsidRPr="00D04697">
              <w:rPr>
                <w:rFonts w:ascii="Calibri" w:hAnsi="Calibri"/>
                <w:sz w:val="18"/>
                <w:szCs w:val="18"/>
              </w:rPr>
              <w:t>NO SWEAT</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A7A4E6F" w14:textId="77777777" w:rsidR="009E2868" w:rsidRPr="009E2868" w:rsidRDefault="009E2868" w:rsidP="009E2868">
            <w:pPr>
              <w:spacing w:before="40" w:after="40"/>
              <w:jc w:val="right"/>
              <w:rPr>
                <w:sz w:val="18"/>
                <w:szCs w:val="18"/>
              </w:rPr>
            </w:pPr>
            <w:r>
              <w:rPr>
                <w:sz w:val="18"/>
                <w:szCs w:val="18"/>
              </w:rPr>
              <w:t>1</w:t>
            </w:r>
            <w:r>
              <w:rPr>
                <w:sz w:val="18"/>
                <w:szCs w:val="18"/>
              </w:rPr>
              <w:br/>
              <w:t>2</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11FD994" w14:textId="77777777" w:rsidR="009E2868" w:rsidRPr="009E2868" w:rsidRDefault="009E2868" w:rsidP="009E2868">
            <w:pPr>
              <w:spacing w:before="40" w:after="40"/>
              <w:jc w:val="right"/>
              <w:rPr>
                <w:sz w:val="18"/>
                <w:szCs w:val="18"/>
              </w:rPr>
            </w:pP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DEAFA20" w14:textId="77777777" w:rsidR="009E2868" w:rsidRPr="009E2868" w:rsidRDefault="009E2868" w:rsidP="009E2868">
            <w:pPr>
              <w:spacing w:before="40" w:after="40"/>
              <w:jc w:val="right"/>
              <w:rPr>
                <w:sz w:val="18"/>
                <w:szCs w:val="18"/>
              </w:rPr>
            </w:pPr>
            <w:r>
              <w:rPr>
                <w:sz w:val="18"/>
                <w:szCs w:val="18"/>
              </w:rPr>
              <w:t>700</w:t>
            </w:r>
            <w:r>
              <w:rPr>
                <w:sz w:val="18"/>
                <w:szCs w:val="18"/>
              </w:rPr>
              <w:br/>
              <w:t>1.800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A8A8519" w14:textId="77777777" w:rsidR="009E2868" w:rsidRPr="009E2868" w:rsidRDefault="009E2868" w:rsidP="009E2868">
            <w:pPr>
              <w:spacing w:before="40" w:after="40"/>
              <w:jc w:val="right"/>
              <w:rPr>
                <w:sz w:val="18"/>
                <w:szCs w:val="18"/>
              </w:rPr>
            </w:pPr>
          </w:p>
        </w:tc>
      </w:tr>
      <w:tr w:rsidR="009E2868" w:rsidRPr="009E2868" w14:paraId="52665A64" w14:textId="77777777" w:rsidTr="009E2868">
        <w:tc>
          <w:tcPr>
            <w:tcW w:w="900"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119A5C48" w14:textId="77777777" w:rsidR="009E2868" w:rsidRPr="009E2868" w:rsidRDefault="009E2868" w:rsidP="009E2868">
            <w:pPr>
              <w:spacing w:before="40" w:after="40"/>
              <w:rPr>
                <w:b/>
                <w:sz w:val="18"/>
                <w:szCs w:val="18"/>
              </w:rPr>
            </w:pPr>
            <w:r w:rsidRPr="009E2868">
              <w:rPr>
                <w:b/>
                <w:sz w:val="18"/>
                <w:szCs w:val="18"/>
              </w:rPr>
              <w:t>Total – 201</w:t>
            </w:r>
            <w:r>
              <w:rPr>
                <w:b/>
                <w:sz w:val="18"/>
                <w:szCs w:val="18"/>
              </w:rPr>
              <w:t>3</w:t>
            </w:r>
            <w:r w:rsidRPr="009E2868">
              <w:rPr>
                <w:b/>
                <w:sz w:val="18"/>
                <w:szCs w:val="18"/>
              </w:rPr>
              <w:t xml:space="preserve"> </w:t>
            </w:r>
          </w:p>
        </w:tc>
        <w:tc>
          <w:tcPr>
            <w:tcW w:w="2117"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69D2F7B7" w14:textId="77777777" w:rsidR="009E2868" w:rsidRPr="009E2868" w:rsidRDefault="009E2868" w:rsidP="009E2868">
            <w:pPr>
              <w:spacing w:before="40" w:after="40"/>
              <w:rPr>
                <w:b/>
                <w:sz w:val="18"/>
                <w:szCs w:val="18"/>
              </w:rPr>
            </w:pP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5D762535" w14:textId="77777777" w:rsidR="009E2868" w:rsidRPr="009E2868" w:rsidRDefault="009E2868" w:rsidP="009E2868">
            <w:pPr>
              <w:spacing w:before="40" w:after="40"/>
              <w:jc w:val="right"/>
              <w:rPr>
                <w:b/>
                <w:sz w:val="18"/>
                <w:szCs w:val="18"/>
              </w:rPr>
            </w:pPr>
            <w:r>
              <w:rPr>
                <w:b/>
                <w:sz w:val="18"/>
                <w:szCs w:val="18"/>
              </w:rPr>
              <w:t>28</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187E5A84" w14:textId="77777777" w:rsidR="009E2868" w:rsidRPr="009E2868" w:rsidRDefault="009E2868" w:rsidP="009E2868">
            <w:pPr>
              <w:spacing w:before="40" w:after="40"/>
              <w:jc w:val="right"/>
              <w:rPr>
                <w:b/>
                <w:sz w:val="18"/>
                <w:szCs w:val="18"/>
              </w:rPr>
            </w:pPr>
            <w:r>
              <w:rPr>
                <w:b/>
                <w:sz w:val="18"/>
                <w:szCs w:val="18"/>
              </w:rPr>
              <w:t>34</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426341E2" w14:textId="77777777" w:rsidR="009E2868" w:rsidRPr="009E2868" w:rsidRDefault="009E2868" w:rsidP="009E2868">
            <w:pPr>
              <w:spacing w:before="40" w:after="40"/>
              <w:jc w:val="right"/>
              <w:rPr>
                <w:b/>
                <w:sz w:val="18"/>
                <w:szCs w:val="18"/>
              </w:rPr>
            </w:pPr>
            <w:r>
              <w:rPr>
                <w:b/>
                <w:sz w:val="18"/>
                <w:szCs w:val="18"/>
              </w:rPr>
              <w:t>14.100</w:t>
            </w:r>
          </w:p>
        </w:tc>
        <w:tc>
          <w:tcPr>
            <w:tcW w:w="495"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74E36353" w14:textId="77777777" w:rsidR="009E2868" w:rsidRPr="009E2868" w:rsidRDefault="009E2868" w:rsidP="009E2868">
            <w:pPr>
              <w:spacing w:before="40" w:after="40"/>
              <w:jc w:val="right"/>
              <w:rPr>
                <w:b/>
                <w:sz w:val="18"/>
                <w:szCs w:val="18"/>
              </w:rPr>
            </w:pPr>
            <w:r>
              <w:rPr>
                <w:b/>
                <w:sz w:val="18"/>
                <w:szCs w:val="18"/>
              </w:rPr>
              <w:t>15.900</w:t>
            </w:r>
          </w:p>
        </w:tc>
      </w:tr>
      <w:tr w:rsidR="009E2868" w:rsidRPr="009E2868" w14:paraId="52874FA2" w14:textId="77777777" w:rsidTr="009E2868">
        <w:tc>
          <w:tcPr>
            <w:tcW w:w="900"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3BA69641" w14:textId="77777777" w:rsidR="009E2868" w:rsidRPr="009E2868" w:rsidRDefault="009E2868" w:rsidP="009E2868">
            <w:pPr>
              <w:spacing w:before="40" w:after="40"/>
              <w:rPr>
                <w:b/>
                <w:i/>
                <w:sz w:val="18"/>
                <w:szCs w:val="18"/>
              </w:rPr>
            </w:pPr>
            <w:r w:rsidRPr="009E2868">
              <w:rPr>
                <w:b/>
                <w:i/>
                <w:sz w:val="18"/>
                <w:szCs w:val="18"/>
              </w:rPr>
              <w:t>Produktioner – 201</w:t>
            </w:r>
            <w:r>
              <w:rPr>
                <w:b/>
                <w:i/>
                <w:sz w:val="18"/>
                <w:szCs w:val="18"/>
              </w:rPr>
              <w:t>4</w:t>
            </w:r>
            <w:r w:rsidRPr="009E2868">
              <w:rPr>
                <w:b/>
                <w:i/>
                <w:sz w:val="18"/>
                <w:szCs w:val="18"/>
              </w:rPr>
              <w:t xml:space="preserve"> </w:t>
            </w:r>
          </w:p>
        </w:tc>
        <w:tc>
          <w:tcPr>
            <w:tcW w:w="2117"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0DF12FC" w14:textId="77777777" w:rsidR="009E2868" w:rsidRPr="009E2868" w:rsidRDefault="009E2868" w:rsidP="009E2868">
            <w:pPr>
              <w:spacing w:before="40" w:after="40"/>
              <w:rPr>
                <w:b/>
                <w:sz w:val="18"/>
                <w:szCs w:val="18"/>
              </w:rPr>
            </w:pP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8E7F915"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464B6290" w14:textId="77777777" w:rsidR="009E2868" w:rsidRPr="009E2868" w:rsidRDefault="009E2868" w:rsidP="009E2868">
            <w:pPr>
              <w:spacing w:before="40" w:after="40"/>
              <w:jc w:val="right"/>
              <w:rPr>
                <w:b/>
                <w:i/>
                <w:sz w:val="18"/>
                <w:szCs w:val="18"/>
              </w:rPr>
            </w:pPr>
            <w:r w:rsidRPr="009E2868">
              <w:rPr>
                <w:b/>
                <w:i/>
                <w:sz w:val="18"/>
                <w:szCs w:val="18"/>
              </w:rPr>
              <w:t>Turné</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5510FBAD"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5"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793F76A" w14:textId="77777777" w:rsidR="009E2868" w:rsidRPr="009E2868" w:rsidRDefault="009E2868" w:rsidP="009E2868">
            <w:pPr>
              <w:spacing w:before="40" w:after="40"/>
              <w:jc w:val="right"/>
              <w:rPr>
                <w:b/>
                <w:i/>
                <w:sz w:val="18"/>
                <w:szCs w:val="18"/>
              </w:rPr>
            </w:pPr>
            <w:r w:rsidRPr="009E2868">
              <w:rPr>
                <w:b/>
                <w:i/>
                <w:sz w:val="18"/>
                <w:szCs w:val="18"/>
              </w:rPr>
              <w:t>Turné</w:t>
            </w:r>
          </w:p>
        </w:tc>
      </w:tr>
      <w:tr w:rsidR="009E2868" w:rsidRPr="009E2868" w14:paraId="79D97ABF"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C06E78C" w14:textId="77777777" w:rsidR="009E2868" w:rsidRPr="009E2868" w:rsidRDefault="009E2868" w:rsidP="009E2868">
            <w:pPr>
              <w:spacing w:before="40" w:after="40"/>
              <w:rPr>
                <w:i/>
                <w:sz w:val="18"/>
                <w:szCs w:val="18"/>
              </w:rPr>
            </w:pPr>
            <w:r w:rsidRPr="009E2868">
              <w:rPr>
                <w:i/>
                <w:sz w:val="18"/>
                <w:szCs w:val="18"/>
              </w:rPr>
              <w:t>Egenproduktion: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FEDBCB4" w14:textId="77777777" w:rsidR="009E2868" w:rsidRDefault="009E2868"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Rolling Stones Teaterkoncert</w:t>
            </w:r>
          </w:p>
          <w:p w14:paraId="7E6D0CDE" w14:textId="77777777" w:rsidR="009E2868" w:rsidRPr="009E2868" w:rsidRDefault="009E2868"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100 Likes</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3893ABCB" w14:textId="77777777" w:rsidR="009E2868" w:rsidRPr="009E2868" w:rsidRDefault="009E2868" w:rsidP="009E2868">
            <w:pPr>
              <w:spacing w:before="40" w:after="40"/>
              <w:jc w:val="right"/>
              <w:rPr>
                <w:sz w:val="18"/>
                <w:szCs w:val="18"/>
              </w:rPr>
            </w:pPr>
            <w:r>
              <w:rPr>
                <w:sz w:val="18"/>
                <w:szCs w:val="18"/>
              </w:rPr>
              <w:t>10</w:t>
            </w:r>
            <w:r>
              <w:rPr>
                <w:sz w:val="18"/>
                <w:szCs w:val="18"/>
              </w:rPr>
              <w:br/>
              <w:t>5</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4324A10" w14:textId="77777777" w:rsidR="009E2868" w:rsidRPr="009E2868" w:rsidRDefault="009E2868" w:rsidP="009E2868">
            <w:pPr>
              <w:spacing w:before="40" w:after="40"/>
              <w:jc w:val="right"/>
              <w:rPr>
                <w:sz w:val="18"/>
                <w:szCs w:val="18"/>
              </w:rPr>
            </w:pPr>
            <w:r>
              <w:rPr>
                <w:sz w:val="18"/>
                <w:szCs w:val="18"/>
              </w:rPr>
              <w:t>12</w:t>
            </w:r>
            <w:r>
              <w:rPr>
                <w:sz w:val="18"/>
                <w:szCs w:val="18"/>
              </w:rPr>
              <w:br/>
              <w:t>28</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8500DF1" w14:textId="77777777" w:rsidR="009E2868" w:rsidRPr="009E2868" w:rsidRDefault="009E2868" w:rsidP="009E2868">
            <w:pPr>
              <w:spacing w:before="40" w:after="40"/>
              <w:jc w:val="right"/>
              <w:rPr>
                <w:sz w:val="18"/>
                <w:szCs w:val="18"/>
              </w:rPr>
            </w:pPr>
            <w:r>
              <w:rPr>
                <w:sz w:val="18"/>
                <w:szCs w:val="18"/>
              </w:rPr>
              <w:t>6.000</w:t>
            </w:r>
            <w:r>
              <w:rPr>
                <w:sz w:val="18"/>
                <w:szCs w:val="18"/>
              </w:rPr>
              <w:br/>
              <w:t>271</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233D75A" w14:textId="77777777" w:rsidR="009E2868" w:rsidRPr="009E2868" w:rsidRDefault="009E2868" w:rsidP="009E2868">
            <w:pPr>
              <w:spacing w:before="40" w:after="40"/>
              <w:jc w:val="right"/>
              <w:rPr>
                <w:sz w:val="18"/>
                <w:szCs w:val="18"/>
              </w:rPr>
            </w:pPr>
            <w:r>
              <w:rPr>
                <w:sz w:val="18"/>
                <w:szCs w:val="18"/>
              </w:rPr>
              <w:t>10.000</w:t>
            </w:r>
            <w:r>
              <w:rPr>
                <w:sz w:val="18"/>
                <w:szCs w:val="18"/>
              </w:rPr>
              <w:br/>
              <w:t>3.000</w:t>
            </w:r>
          </w:p>
        </w:tc>
      </w:tr>
      <w:tr w:rsidR="009E2868" w:rsidRPr="009E2868" w14:paraId="4A61652B"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746F689" w14:textId="77777777" w:rsidR="009E2868" w:rsidRPr="009E2868" w:rsidRDefault="009E2868" w:rsidP="009E2868">
            <w:pPr>
              <w:spacing w:before="40" w:after="40"/>
              <w:rPr>
                <w:i/>
                <w:sz w:val="18"/>
                <w:szCs w:val="18"/>
              </w:rPr>
            </w:pPr>
            <w:r w:rsidRPr="009E2868">
              <w:rPr>
                <w:i/>
                <w:sz w:val="18"/>
                <w:szCs w:val="18"/>
              </w:rPr>
              <w:t>Samproduktion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86CB711" w14:textId="77777777" w:rsidR="009E2868" w:rsidRDefault="009E2868"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 xml:space="preserve">Emil fra </w:t>
            </w:r>
            <w:proofErr w:type="spellStart"/>
            <w:r>
              <w:rPr>
                <w:rFonts w:ascii="Calibri" w:hAnsi="Calibri"/>
                <w:sz w:val="18"/>
                <w:szCs w:val="18"/>
              </w:rPr>
              <w:t>Lønneberg</w:t>
            </w:r>
            <w:proofErr w:type="spellEnd"/>
            <w:r>
              <w:rPr>
                <w:rFonts w:ascii="Calibri" w:hAnsi="Calibri"/>
                <w:sz w:val="18"/>
                <w:szCs w:val="18"/>
              </w:rPr>
              <w:t xml:space="preserve"> (med MCH, Herning)</w:t>
            </w:r>
          </w:p>
          <w:p w14:paraId="2DB7E417" w14:textId="77777777" w:rsidR="009E2868" w:rsidRPr="009E2868" w:rsidRDefault="009E2868"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Holstebro Revyen (sammen med Nykøbing Falster Revyen)</w:t>
            </w:r>
            <w:r w:rsidR="00796E8E">
              <w:rPr>
                <w:rFonts w:ascii="Calibri" w:hAnsi="Calibri"/>
                <w:sz w:val="18"/>
                <w:szCs w:val="18"/>
              </w:rPr>
              <w:t>*)</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2B602D4" w14:textId="77777777" w:rsidR="009E2868" w:rsidRPr="009E2868" w:rsidRDefault="009E2868" w:rsidP="009E2868">
            <w:pPr>
              <w:spacing w:before="40" w:after="40"/>
              <w:jc w:val="right"/>
              <w:rPr>
                <w:sz w:val="18"/>
                <w:szCs w:val="18"/>
              </w:rPr>
            </w:pPr>
            <w:r>
              <w:rPr>
                <w:sz w:val="18"/>
                <w:szCs w:val="18"/>
              </w:rPr>
              <w:t>5</w:t>
            </w:r>
            <w:r>
              <w:rPr>
                <w:sz w:val="18"/>
                <w:szCs w:val="18"/>
              </w:rPr>
              <w:br/>
            </w:r>
            <w:r w:rsidR="00796E8E">
              <w:rPr>
                <w:sz w:val="18"/>
                <w:szCs w:val="18"/>
              </w:rPr>
              <w:t>(</w:t>
            </w:r>
            <w:r>
              <w:rPr>
                <w:sz w:val="18"/>
                <w:szCs w:val="18"/>
              </w:rPr>
              <w:t>8</w:t>
            </w:r>
            <w:r w:rsidR="00796E8E">
              <w:rPr>
                <w:sz w:val="18"/>
                <w:szCs w:val="18"/>
              </w:rPr>
              <w:t>)</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B972289" w14:textId="77777777" w:rsidR="009E2868" w:rsidRPr="009E2868" w:rsidRDefault="009E2868" w:rsidP="009E2868">
            <w:pPr>
              <w:spacing w:before="40" w:after="40"/>
              <w:jc w:val="right"/>
              <w:rPr>
                <w:sz w:val="18"/>
                <w:szCs w:val="18"/>
              </w:rPr>
            </w:pPr>
            <w:r>
              <w:rPr>
                <w:sz w:val="18"/>
                <w:szCs w:val="18"/>
              </w:rPr>
              <w:t>10</w:t>
            </w:r>
            <w:r>
              <w:rPr>
                <w:sz w:val="18"/>
                <w:szCs w:val="18"/>
              </w:rPr>
              <w:br/>
            </w:r>
            <w:r w:rsidR="00796E8E">
              <w:rPr>
                <w:sz w:val="18"/>
                <w:szCs w:val="18"/>
              </w:rPr>
              <w:t>(</w:t>
            </w:r>
            <w:r>
              <w:rPr>
                <w:sz w:val="18"/>
                <w:szCs w:val="18"/>
              </w:rPr>
              <w:t>65</w:t>
            </w:r>
            <w:r w:rsidR="00796E8E">
              <w:rPr>
                <w:sz w:val="18"/>
                <w:szCs w:val="18"/>
              </w:rPr>
              <w:t>)</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01498FF" w14:textId="77777777" w:rsidR="009E2868" w:rsidRPr="009E2868" w:rsidRDefault="009E2868" w:rsidP="009E2868">
            <w:pPr>
              <w:spacing w:before="40" w:after="40"/>
              <w:jc w:val="right"/>
              <w:rPr>
                <w:sz w:val="18"/>
                <w:szCs w:val="18"/>
              </w:rPr>
            </w:pPr>
            <w:r>
              <w:rPr>
                <w:sz w:val="18"/>
                <w:szCs w:val="18"/>
              </w:rPr>
              <w:t>1.500</w:t>
            </w:r>
            <w:r>
              <w:rPr>
                <w:sz w:val="18"/>
                <w:szCs w:val="18"/>
              </w:rPr>
              <w:br/>
            </w:r>
            <w:r w:rsidR="00796E8E">
              <w:rPr>
                <w:sz w:val="18"/>
                <w:szCs w:val="18"/>
              </w:rPr>
              <w:t>(</w:t>
            </w:r>
            <w:r>
              <w:rPr>
                <w:sz w:val="18"/>
                <w:szCs w:val="18"/>
              </w:rPr>
              <w:t>6.000</w:t>
            </w:r>
            <w:r w:rsidR="00796E8E">
              <w:rPr>
                <w:sz w:val="18"/>
                <w:szCs w:val="18"/>
              </w:rPr>
              <w:t>)</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13E3419" w14:textId="77777777" w:rsidR="009E2868" w:rsidRPr="009E2868" w:rsidRDefault="009E2868" w:rsidP="009E2868">
            <w:pPr>
              <w:spacing w:before="40" w:after="40"/>
              <w:jc w:val="right"/>
              <w:rPr>
                <w:sz w:val="18"/>
                <w:szCs w:val="18"/>
              </w:rPr>
            </w:pPr>
            <w:r>
              <w:rPr>
                <w:sz w:val="18"/>
                <w:szCs w:val="18"/>
              </w:rPr>
              <w:t>2.800</w:t>
            </w:r>
            <w:r>
              <w:rPr>
                <w:sz w:val="18"/>
                <w:szCs w:val="18"/>
              </w:rPr>
              <w:br/>
            </w:r>
            <w:r w:rsidR="00796E8E">
              <w:rPr>
                <w:sz w:val="18"/>
                <w:szCs w:val="18"/>
              </w:rPr>
              <w:t>(</w:t>
            </w:r>
            <w:r>
              <w:rPr>
                <w:sz w:val="18"/>
                <w:szCs w:val="18"/>
              </w:rPr>
              <w:t>30.000</w:t>
            </w:r>
            <w:r w:rsidR="00796E8E">
              <w:rPr>
                <w:sz w:val="18"/>
                <w:szCs w:val="18"/>
              </w:rPr>
              <w:t>)</w:t>
            </w:r>
          </w:p>
        </w:tc>
      </w:tr>
      <w:tr w:rsidR="009E2868" w:rsidRPr="009E2868" w14:paraId="39BB7238"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5730468" w14:textId="77777777" w:rsidR="009E2868" w:rsidRPr="009E2868" w:rsidRDefault="009E2868" w:rsidP="009E2868">
            <w:pPr>
              <w:spacing w:before="40" w:after="40"/>
              <w:rPr>
                <w:i/>
                <w:sz w:val="18"/>
                <w:szCs w:val="18"/>
              </w:rPr>
            </w:pPr>
            <w:r w:rsidRPr="009E2868">
              <w:rPr>
                <w:i/>
                <w:sz w:val="18"/>
                <w:szCs w:val="18"/>
              </w:rPr>
              <w:t>Genopsætning:</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87CCA4B" w14:textId="77777777" w:rsidR="009E2868" w:rsidRPr="00796E8E" w:rsidRDefault="009E2868" w:rsidP="009E2868">
            <w:pPr>
              <w:numPr>
                <w:ilvl w:val="0"/>
                <w:numId w:val="25"/>
              </w:numPr>
              <w:spacing w:before="40" w:after="40"/>
              <w:ind w:left="357" w:hanging="357"/>
              <w:contextualSpacing/>
              <w:rPr>
                <w:rFonts w:ascii="Calibri" w:hAnsi="Calibri"/>
                <w:sz w:val="18"/>
                <w:szCs w:val="18"/>
              </w:rPr>
            </w:pPr>
            <w:r w:rsidRPr="00796E8E">
              <w:rPr>
                <w:rFonts w:ascii="Calibri" w:hAnsi="Calibri"/>
                <w:sz w:val="18"/>
                <w:szCs w:val="18"/>
              </w:rPr>
              <w:t>Viva Vive</w:t>
            </w:r>
          </w:p>
          <w:p w14:paraId="66698825" w14:textId="77777777" w:rsidR="009E2868" w:rsidRPr="00796E8E" w:rsidRDefault="00F20DCF" w:rsidP="009E2868">
            <w:pPr>
              <w:numPr>
                <w:ilvl w:val="0"/>
                <w:numId w:val="25"/>
              </w:numPr>
              <w:spacing w:before="40" w:after="40"/>
              <w:ind w:left="357" w:hanging="357"/>
              <w:contextualSpacing/>
              <w:rPr>
                <w:rFonts w:ascii="Calibri" w:hAnsi="Calibri"/>
                <w:sz w:val="18"/>
                <w:szCs w:val="18"/>
              </w:rPr>
            </w:pPr>
            <w:r w:rsidRPr="00796E8E">
              <w:rPr>
                <w:rFonts w:ascii="Calibri" w:hAnsi="Calibri"/>
                <w:sz w:val="18"/>
                <w:szCs w:val="18"/>
              </w:rPr>
              <w:t>Viva Vive</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998D8AB" w14:textId="77777777" w:rsidR="009E2868" w:rsidRPr="009E2868" w:rsidRDefault="009E2868" w:rsidP="009E2868">
            <w:pPr>
              <w:spacing w:before="40" w:after="40"/>
              <w:jc w:val="right"/>
              <w:rPr>
                <w:sz w:val="18"/>
                <w:szCs w:val="18"/>
              </w:rPr>
            </w:pPr>
            <w:r>
              <w:rPr>
                <w:sz w:val="18"/>
                <w:szCs w:val="18"/>
              </w:rPr>
              <w:t>2</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7BD012B" w14:textId="77777777" w:rsidR="009E2868" w:rsidRPr="009E2868" w:rsidRDefault="009E2868" w:rsidP="009E2868">
            <w:pPr>
              <w:spacing w:before="40" w:after="40"/>
              <w:jc w:val="right"/>
              <w:rPr>
                <w:sz w:val="18"/>
                <w:szCs w:val="18"/>
              </w:rPr>
            </w:pPr>
            <w:r>
              <w:rPr>
                <w:sz w:val="18"/>
                <w:szCs w:val="18"/>
              </w:rPr>
              <w:t>17</w:t>
            </w:r>
            <w:r w:rsidR="00F20DCF">
              <w:rPr>
                <w:sz w:val="18"/>
                <w:szCs w:val="18"/>
              </w:rPr>
              <w:br/>
              <w:t>6</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8E2C1F0" w14:textId="77777777" w:rsidR="009E2868" w:rsidRPr="009E2868" w:rsidRDefault="009E2868" w:rsidP="009E2868">
            <w:pPr>
              <w:spacing w:before="40" w:after="40"/>
              <w:jc w:val="right"/>
              <w:rPr>
                <w:sz w:val="18"/>
                <w:szCs w:val="18"/>
              </w:rPr>
            </w:pPr>
            <w:r>
              <w:rPr>
                <w:sz w:val="18"/>
                <w:szCs w:val="18"/>
              </w:rPr>
              <w:t>800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E36DCA5" w14:textId="77777777" w:rsidR="009E2868" w:rsidRPr="009E2868" w:rsidRDefault="009E2868" w:rsidP="009E2868">
            <w:pPr>
              <w:spacing w:before="40" w:after="40"/>
              <w:jc w:val="right"/>
              <w:rPr>
                <w:sz w:val="18"/>
                <w:szCs w:val="18"/>
              </w:rPr>
            </w:pPr>
            <w:r>
              <w:rPr>
                <w:sz w:val="18"/>
                <w:szCs w:val="18"/>
              </w:rPr>
              <w:t>5.000</w:t>
            </w:r>
            <w:r w:rsidR="00F20DCF">
              <w:rPr>
                <w:sz w:val="18"/>
                <w:szCs w:val="18"/>
              </w:rPr>
              <w:br/>
              <w:t>8.000</w:t>
            </w:r>
          </w:p>
        </w:tc>
      </w:tr>
      <w:tr w:rsidR="009E2868" w:rsidRPr="009E2868" w14:paraId="33BAE749"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719A4BC" w14:textId="77777777" w:rsidR="009E2868" w:rsidRPr="009E2868" w:rsidRDefault="009E2868" w:rsidP="009E2868">
            <w:pPr>
              <w:spacing w:before="40" w:after="40"/>
              <w:rPr>
                <w:i/>
                <w:sz w:val="18"/>
                <w:szCs w:val="18"/>
              </w:rPr>
            </w:pPr>
            <w:r w:rsidRPr="009E2868">
              <w:rPr>
                <w:i/>
                <w:sz w:val="18"/>
                <w:szCs w:val="18"/>
              </w:rPr>
              <w:t>Gæstespil</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DD1AAB2" w14:textId="77777777" w:rsidR="009E2868" w:rsidRPr="00CF35A1" w:rsidRDefault="00F20DCF" w:rsidP="009E2868">
            <w:pPr>
              <w:numPr>
                <w:ilvl w:val="0"/>
                <w:numId w:val="25"/>
              </w:numPr>
              <w:spacing w:before="40" w:after="40"/>
              <w:ind w:left="357" w:hanging="357"/>
              <w:contextualSpacing/>
              <w:rPr>
                <w:rFonts w:ascii="Calibri" w:hAnsi="Calibri"/>
                <w:sz w:val="18"/>
                <w:szCs w:val="18"/>
              </w:rPr>
            </w:pPr>
            <w:r w:rsidRPr="00CF35A1">
              <w:rPr>
                <w:rFonts w:ascii="Calibri" w:hAnsi="Calibri"/>
                <w:sz w:val="18"/>
                <w:szCs w:val="18"/>
              </w:rPr>
              <w:t>Erasmus Montanus (Det Kgl. Teater)</w:t>
            </w:r>
          </w:p>
          <w:p w14:paraId="4F8E45CE" w14:textId="77777777" w:rsidR="00F20DCF" w:rsidRPr="00CF35A1" w:rsidRDefault="00F20DCF" w:rsidP="009E2868">
            <w:pPr>
              <w:numPr>
                <w:ilvl w:val="0"/>
                <w:numId w:val="25"/>
              </w:numPr>
              <w:spacing w:before="40" w:after="40"/>
              <w:ind w:left="357" w:hanging="357"/>
              <w:contextualSpacing/>
              <w:rPr>
                <w:rFonts w:ascii="Calibri" w:hAnsi="Calibri"/>
                <w:sz w:val="18"/>
                <w:szCs w:val="18"/>
              </w:rPr>
            </w:pPr>
            <w:r w:rsidRPr="00CF35A1">
              <w:rPr>
                <w:rFonts w:ascii="Calibri" w:hAnsi="Calibri"/>
                <w:sz w:val="18"/>
                <w:szCs w:val="18"/>
              </w:rPr>
              <w:t>Don Juan (Det Kgl. Teater)</w:t>
            </w:r>
          </w:p>
          <w:p w14:paraId="2018D331" w14:textId="77777777" w:rsidR="00F20DCF" w:rsidRPr="009E2868" w:rsidRDefault="00F20DCF" w:rsidP="009E2868">
            <w:pPr>
              <w:numPr>
                <w:ilvl w:val="0"/>
                <w:numId w:val="25"/>
              </w:numPr>
              <w:spacing w:before="40" w:after="40"/>
              <w:ind w:left="357" w:hanging="357"/>
              <w:contextualSpacing/>
              <w:rPr>
                <w:rFonts w:ascii="Calibri" w:hAnsi="Calibri"/>
                <w:sz w:val="18"/>
                <w:szCs w:val="18"/>
                <w:lang w:val="it-IT"/>
              </w:rPr>
            </w:pPr>
            <w:r>
              <w:rPr>
                <w:rFonts w:ascii="Calibri" w:hAnsi="Calibri"/>
                <w:sz w:val="18"/>
                <w:szCs w:val="18"/>
                <w:lang w:val="it-IT"/>
              </w:rPr>
              <w:t>Cabaret New Burlesque</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36AD318" w14:textId="77777777" w:rsidR="009E2868" w:rsidRPr="009E2868" w:rsidRDefault="00F20DCF" w:rsidP="009E2868">
            <w:pPr>
              <w:spacing w:before="40" w:after="40"/>
              <w:jc w:val="right"/>
              <w:rPr>
                <w:sz w:val="18"/>
                <w:szCs w:val="18"/>
              </w:rPr>
            </w:pPr>
            <w:r>
              <w:rPr>
                <w:sz w:val="18"/>
                <w:szCs w:val="18"/>
              </w:rPr>
              <w:t>1</w:t>
            </w:r>
            <w:r>
              <w:rPr>
                <w:sz w:val="18"/>
                <w:szCs w:val="18"/>
              </w:rPr>
              <w:br/>
              <w:t>1</w:t>
            </w:r>
            <w:r>
              <w:rPr>
                <w:sz w:val="18"/>
                <w:szCs w:val="18"/>
              </w:rPr>
              <w:br/>
              <w:t>1</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643126D1" w14:textId="77777777" w:rsidR="009E2868" w:rsidRPr="009E2868" w:rsidRDefault="00796E8E" w:rsidP="00796E8E">
            <w:pPr>
              <w:spacing w:before="40" w:after="40"/>
              <w:jc w:val="right"/>
              <w:rPr>
                <w:sz w:val="18"/>
                <w:szCs w:val="18"/>
              </w:rPr>
            </w:pPr>
            <w:r>
              <w:rPr>
                <w:sz w:val="18"/>
                <w:szCs w:val="18"/>
              </w:rPr>
              <w:br/>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4CAB1DBB" w14:textId="77777777" w:rsidR="009E2868" w:rsidRPr="009E2868" w:rsidRDefault="00F20DCF" w:rsidP="009E2868">
            <w:pPr>
              <w:spacing w:before="40" w:after="40"/>
              <w:jc w:val="right"/>
              <w:rPr>
                <w:sz w:val="18"/>
                <w:szCs w:val="18"/>
              </w:rPr>
            </w:pPr>
            <w:r>
              <w:rPr>
                <w:sz w:val="18"/>
                <w:szCs w:val="18"/>
              </w:rPr>
              <w:t>700</w:t>
            </w:r>
            <w:r>
              <w:rPr>
                <w:sz w:val="18"/>
                <w:szCs w:val="18"/>
              </w:rPr>
              <w:br/>
              <w:t>800</w:t>
            </w:r>
            <w:r>
              <w:rPr>
                <w:sz w:val="18"/>
                <w:szCs w:val="18"/>
              </w:rPr>
              <w:br/>
              <w:t>500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BA067CC" w14:textId="77777777" w:rsidR="009E2868" w:rsidRPr="009E2868" w:rsidRDefault="00796E8E" w:rsidP="009E2868">
            <w:pPr>
              <w:spacing w:before="40" w:after="40"/>
              <w:jc w:val="right"/>
              <w:rPr>
                <w:sz w:val="18"/>
                <w:szCs w:val="18"/>
              </w:rPr>
            </w:pPr>
            <w:r>
              <w:rPr>
                <w:sz w:val="18"/>
                <w:szCs w:val="18"/>
              </w:rPr>
              <w:br/>
            </w:r>
            <w:r>
              <w:rPr>
                <w:sz w:val="18"/>
                <w:szCs w:val="18"/>
              </w:rPr>
              <w:br/>
            </w:r>
          </w:p>
        </w:tc>
      </w:tr>
      <w:tr w:rsidR="009E2868" w:rsidRPr="009E2868" w14:paraId="10720D94" w14:textId="77777777" w:rsidTr="009E2868">
        <w:tc>
          <w:tcPr>
            <w:tcW w:w="900"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24479DC2" w14:textId="77777777" w:rsidR="009E2868" w:rsidRPr="009E2868" w:rsidRDefault="009E2868" w:rsidP="009E2868">
            <w:pPr>
              <w:spacing w:before="40" w:after="40"/>
              <w:rPr>
                <w:b/>
                <w:sz w:val="18"/>
                <w:szCs w:val="18"/>
              </w:rPr>
            </w:pPr>
            <w:r w:rsidRPr="009E2868">
              <w:rPr>
                <w:b/>
                <w:sz w:val="18"/>
                <w:szCs w:val="18"/>
              </w:rPr>
              <w:t>Total – 201</w:t>
            </w:r>
            <w:r>
              <w:rPr>
                <w:b/>
                <w:sz w:val="18"/>
                <w:szCs w:val="18"/>
              </w:rPr>
              <w:t>4</w:t>
            </w:r>
            <w:r w:rsidRPr="009E2868">
              <w:rPr>
                <w:b/>
                <w:sz w:val="18"/>
                <w:szCs w:val="18"/>
              </w:rPr>
              <w:t xml:space="preserve"> </w:t>
            </w:r>
          </w:p>
        </w:tc>
        <w:tc>
          <w:tcPr>
            <w:tcW w:w="2117"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6A7BE4D4" w14:textId="77777777" w:rsidR="009E2868" w:rsidRPr="009E2868" w:rsidRDefault="009E2868" w:rsidP="009E2868">
            <w:pPr>
              <w:spacing w:before="40" w:after="40"/>
              <w:rPr>
                <w:b/>
                <w:sz w:val="18"/>
                <w:szCs w:val="18"/>
              </w:rPr>
            </w:pP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2E06928D" w14:textId="77777777" w:rsidR="009E2868" w:rsidRPr="009E2868" w:rsidRDefault="00796E8E" w:rsidP="009E2868">
            <w:pPr>
              <w:spacing w:before="40" w:after="40"/>
              <w:jc w:val="right"/>
              <w:rPr>
                <w:b/>
                <w:sz w:val="18"/>
                <w:szCs w:val="18"/>
              </w:rPr>
            </w:pPr>
            <w:r>
              <w:rPr>
                <w:b/>
                <w:sz w:val="18"/>
                <w:szCs w:val="18"/>
              </w:rPr>
              <w:t>25</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4D30F686" w14:textId="77777777" w:rsidR="009E2868" w:rsidRPr="009E2868" w:rsidRDefault="00796E8E" w:rsidP="009E2868">
            <w:pPr>
              <w:spacing w:before="40" w:after="40"/>
              <w:jc w:val="right"/>
              <w:rPr>
                <w:b/>
                <w:sz w:val="18"/>
                <w:szCs w:val="18"/>
              </w:rPr>
            </w:pPr>
            <w:r>
              <w:rPr>
                <w:b/>
                <w:sz w:val="18"/>
                <w:szCs w:val="18"/>
              </w:rPr>
              <w:t>67</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6A6E6192" w14:textId="77777777" w:rsidR="009E2868" w:rsidRPr="009E2868" w:rsidRDefault="00796E8E" w:rsidP="009E2868">
            <w:pPr>
              <w:spacing w:before="40" w:after="40"/>
              <w:jc w:val="right"/>
              <w:rPr>
                <w:b/>
                <w:sz w:val="18"/>
                <w:szCs w:val="18"/>
              </w:rPr>
            </w:pPr>
            <w:r>
              <w:rPr>
                <w:b/>
                <w:sz w:val="18"/>
                <w:szCs w:val="18"/>
              </w:rPr>
              <w:t>10</w:t>
            </w:r>
            <w:r w:rsidR="00F20DCF">
              <w:rPr>
                <w:b/>
                <w:sz w:val="18"/>
                <w:szCs w:val="18"/>
              </w:rPr>
              <w:t>.571</w:t>
            </w:r>
          </w:p>
        </w:tc>
        <w:tc>
          <w:tcPr>
            <w:tcW w:w="495"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27A217A6" w14:textId="77777777" w:rsidR="009E2868" w:rsidRPr="009E2868" w:rsidRDefault="00796E8E" w:rsidP="009E2868">
            <w:pPr>
              <w:spacing w:before="40" w:after="40"/>
              <w:jc w:val="right"/>
              <w:rPr>
                <w:b/>
                <w:sz w:val="18"/>
                <w:szCs w:val="18"/>
              </w:rPr>
            </w:pPr>
            <w:r>
              <w:rPr>
                <w:b/>
                <w:sz w:val="18"/>
                <w:szCs w:val="18"/>
              </w:rPr>
              <w:t>2</w:t>
            </w:r>
            <w:r w:rsidR="00F20DCF">
              <w:rPr>
                <w:b/>
                <w:sz w:val="18"/>
                <w:szCs w:val="18"/>
              </w:rPr>
              <w:t>0.800</w:t>
            </w:r>
          </w:p>
        </w:tc>
      </w:tr>
      <w:tr w:rsidR="009E2868" w:rsidRPr="009E2868" w14:paraId="3EA74975" w14:textId="77777777" w:rsidTr="009E2868">
        <w:tc>
          <w:tcPr>
            <w:tcW w:w="900"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27FAB2E" w14:textId="77777777" w:rsidR="009E2868" w:rsidRPr="009E2868" w:rsidRDefault="009E2868" w:rsidP="009E2868">
            <w:pPr>
              <w:spacing w:before="40" w:after="40"/>
              <w:rPr>
                <w:b/>
                <w:i/>
                <w:sz w:val="18"/>
                <w:szCs w:val="18"/>
              </w:rPr>
            </w:pPr>
            <w:r w:rsidRPr="009E2868">
              <w:rPr>
                <w:b/>
                <w:i/>
                <w:sz w:val="18"/>
                <w:szCs w:val="18"/>
              </w:rPr>
              <w:t>Produktioner – 201</w:t>
            </w:r>
            <w:r>
              <w:rPr>
                <w:b/>
                <w:i/>
                <w:sz w:val="18"/>
                <w:szCs w:val="18"/>
              </w:rPr>
              <w:t>5</w:t>
            </w:r>
            <w:r w:rsidRPr="009E2868">
              <w:rPr>
                <w:b/>
                <w:i/>
                <w:sz w:val="18"/>
                <w:szCs w:val="18"/>
              </w:rPr>
              <w:t xml:space="preserve"> </w:t>
            </w:r>
          </w:p>
        </w:tc>
        <w:tc>
          <w:tcPr>
            <w:tcW w:w="2117"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76D6B0F7" w14:textId="77777777" w:rsidR="009E2868" w:rsidRPr="009E2868" w:rsidRDefault="009E2868" w:rsidP="009E2868">
            <w:pPr>
              <w:spacing w:before="40" w:after="40"/>
              <w:rPr>
                <w:b/>
                <w:sz w:val="18"/>
                <w:szCs w:val="18"/>
              </w:rPr>
            </w:pP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254FE8D9"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05A493A5" w14:textId="77777777" w:rsidR="009E2868" w:rsidRPr="009E2868" w:rsidRDefault="009E2868" w:rsidP="009E2868">
            <w:pPr>
              <w:spacing w:before="40" w:after="40"/>
              <w:jc w:val="right"/>
              <w:rPr>
                <w:b/>
                <w:i/>
                <w:sz w:val="18"/>
                <w:szCs w:val="18"/>
              </w:rPr>
            </w:pPr>
            <w:r w:rsidRPr="009E2868">
              <w:rPr>
                <w:b/>
                <w:i/>
                <w:sz w:val="18"/>
                <w:szCs w:val="18"/>
              </w:rPr>
              <w:t>Turné</w:t>
            </w:r>
          </w:p>
        </w:tc>
        <w:tc>
          <w:tcPr>
            <w:tcW w:w="496"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15C0C702" w14:textId="77777777" w:rsidR="009E2868" w:rsidRPr="009E2868" w:rsidRDefault="009E2868" w:rsidP="009E2868">
            <w:pPr>
              <w:spacing w:before="40" w:after="40"/>
              <w:jc w:val="right"/>
              <w:rPr>
                <w:b/>
                <w:i/>
                <w:sz w:val="18"/>
                <w:szCs w:val="18"/>
              </w:rPr>
            </w:pPr>
            <w:r w:rsidRPr="009E2868">
              <w:rPr>
                <w:b/>
                <w:i/>
                <w:sz w:val="18"/>
                <w:szCs w:val="18"/>
              </w:rPr>
              <w:t>Lokale</w:t>
            </w:r>
          </w:p>
        </w:tc>
        <w:tc>
          <w:tcPr>
            <w:tcW w:w="495" w:type="pct"/>
            <w:tcBorders>
              <w:top w:val="single" w:sz="4" w:space="0" w:color="403152" w:themeColor="accent3"/>
              <w:left w:val="single" w:sz="4" w:space="0" w:color="403152" w:themeColor="accent3"/>
              <w:bottom w:val="dashed" w:sz="4" w:space="0" w:color="403152" w:themeColor="accent3"/>
              <w:right w:val="single" w:sz="4" w:space="0" w:color="403152" w:themeColor="accent3"/>
            </w:tcBorders>
            <w:shd w:val="clear" w:color="auto" w:fill="F2F2F2" w:themeFill="background1" w:themeFillShade="F2"/>
          </w:tcPr>
          <w:p w14:paraId="1F9F55B2" w14:textId="77777777" w:rsidR="009E2868" w:rsidRPr="009E2868" w:rsidRDefault="009E2868" w:rsidP="009E2868">
            <w:pPr>
              <w:spacing w:before="40" w:after="40"/>
              <w:jc w:val="right"/>
              <w:rPr>
                <w:b/>
                <w:i/>
                <w:sz w:val="18"/>
                <w:szCs w:val="18"/>
              </w:rPr>
            </w:pPr>
            <w:r w:rsidRPr="009E2868">
              <w:rPr>
                <w:b/>
                <w:i/>
                <w:sz w:val="18"/>
                <w:szCs w:val="18"/>
              </w:rPr>
              <w:t>Turné</w:t>
            </w:r>
          </w:p>
        </w:tc>
      </w:tr>
      <w:tr w:rsidR="009E2868" w:rsidRPr="009E2868" w14:paraId="4E096836"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32B9E565" w14:textId="77777777" w:rsidR="009E2868" w:rsidRPr="009E2868" w:rsidRDefault="009E2868" w:rsidP="009E2868">
            <w:pPr>
              <w:spacing w:before="40" w:after="40"/>
              <w:rPr>
                <w:i/>
                <w:sz w:val="18"/>
                <w:szCs w:val="18"/>
              </w:rPr>
            </w:pPr>
            <w:r w:rsidRPr="009E2868">
              <w:rPr>
                <w:i/>
                <w:sz w:val="18"/>
                <w:szCs w:val="18"/>
              </w:rPr>
              <w:t>Egenproduktion: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0A23001" w14:textId="77777777" w:rsidR="009E2868" w:rsidRDefault="00F20DCF"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Blinkende Lygter</w:t>
            </w:r>
          </w:p>
          <w:p w14:paraId="091867D0" w14:textId="77777777" w:rsidR="00F20DCF" w:rsidRDefault="00F20DCF"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Push</w:t>
            </w:r>
          </w:p>
          <w:p w14:paraId="08535B0D" w14:textId="77777777" w:rsidR="00F20DCF" w:rsidRPr="009E2868" w:rsidRDefault="00F20DCF"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 xml:space="preserve">The 7th </w:t>
            </w:r>
            <w:proofErr w:type="spellStart"/>
            <w:r>
              <w:rPr>
                <w:rFonts w:ascii="Calibri" w:hAnsi="Calibri"/>
                <w:sz w:val="18"/>
                <w:szCs w:val="18"/>
              </w:rPr>
              <w:t>Wave</w:t>
            </w:r>
            <w:proofErr w:type="spellEnd"/>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0D8B5F4" w14:textId="77777777" w:rsidR="009E2868" w:rsidRPr="009E2868" w:rsidRDefault="00F20DCF" w:rsidP="009E2868">
            <w:pPr>
              <w:spacing w:before="40" w:after="40"/>
              <w:jc w:val="right"/>
              <w:rPr>
                <w:sz w:val="18"/>
                <w:szCs w:val="18"/>
              </w:rPr>
            </w:pPr>
            <w:r>
              <w:rPr>
                <w:sz w:val="18"/>
                <w:szCs w:val="18"/>
              </w:rPr>
              <w:t>10</w:t>
            </w:r>
            <w:r>
              <w:rPr>
                <w:sz w:val="18"/>
                <w:szCs w:val="18"/>
              </w:rPr>
              <w:br/>
              <w:t>4</w:t>
            </w:r>
            <w:r>
              <w:rPr>
                <w:sz w:val="18"/>
                <w:szCs w:val="18"/>
              </w:rPr>
              <w:br/>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4C8F5E9" w14:textId="77777777" w:rsidR="009E2868" w:rsidRPr="009E2868" w:rsidRDefault="00F20DCF" w:rsidP="009E2868">
            <w:pPr>
              <w:spacing w:before="40" w:after="40"/>
              <w:jc w:val="right"/>
              <w:rPr>
                <w:sz w:val="18"/>
                <w:szCs w:val="18"/>
              </w:rPr>
            </w:pPr>
            <w:r>
              <w:rPr>
                <w:sz w:val="18"/>
                <w:szCs w:val="18"/>
              </w:rPr>
              <w:t>8</w:t>
            </w:r>
            <w:r>
              <w:rPr>
                <w:sz w:val="18"/>
                <w:szCs w:val="18"/>
              </w:rPr>
              <w:br/>
              <w:t>33</w:t>
            </w:r>
            <w:r>
              <w:rPr>
                <w:sz w:val="18"/>
                <w:szCs w:val="18"/>
              </w:rPr>
              <w:br/>
              <w:t>2</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C8E9BD2" w14:textId="77777777" w:rsidR="009E2868" w:rsidRPr="009E2868" w:rsidRDefault="00F20DCF" w:rsidP="009E2868">
            <w:pPr>
              <w:spacing w:before="40" w:after="40"/>
              <w:jc w:val="right"/>
              <w:rPr>
                <w:sz w:val="18"/>
                <w:szCs w:val="18"/>
              </w:rPr>
            </w:pPr>
            <w:r>
              <w:rPr>
                <w:sz w:val="18"/>
                <w:szCs w:val="18"/>
              </w:rPr>
              <w:t>6.000</w:t>
            </w:r>
            <w:r>
              <w:rPr>
                <w:sz w:val="18"/>
                <w:szCs w:val="18"/>
              </w:rPr>
              <w:br/>
              <w:t>1.500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5FCCB21" w14:textId="77777777" w:rsidR="009E2868" w:rsidRPr="009E2868" w:rsidRDefault="00F20DCF" w:rsidP="009E2868">
            <w:pPr>
              <w:spacing w:before="40" w:after="40"/>
              <w:jc w:val="right"/>
              <w:rPr>
                <w:sz w:val="18"/>
                <w:szCs w:val="18"/>
              </w:rPr>
            </w:pPr>
            <w:r>
              <w:rPr>
                <w:sz w:val="18"/>
                <w:szCs w:val="18"/>
              </w:rPr>
              <w:t>6.000</w:t>
            </w:r>
            <w:r>
              <w:rPr>
                <w:sz w:val="18"/>
                <w:szCs w:val="18"/>
              </w:rPr>
              <w:br/>
              <w:t>12.000</w:t>
            </w:r>
            <w:r>
              <w:rPr>
                <w:sz w:val="18"/>
                <w:szCs w:val="18"/>
              </w:rPr>
              <w:br/>
              <w:t>5.000</w:t>
            </w:r>
          </w:p>
        </w:tc>
      </w:tr>
      <w:tr w:rsidR="009E2868" w:rsidRPr="00F20DCF" w14:paraId="06ABBA4C"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9EFB46F" w14:textId="77777777" w:rsidR="009E2868" w:rsidRPr="009E2868" w:rsidRDefault="009E2868" w:rsidP="009E2868">
            <w:pPr>
              <w:spacing w:before="40" w:after="40"/>
              <w:rPr>
                <w:i/>
                <w:sz w:val="18"/>
                <w:szCs w:val="18"/>
              </w:rPr>
            </w:pPr>
            <w:r w:rsidRPr="009E2868">
              <w:rPr>
                <w:i/>
                <w:sz w:val="18"/>
                <w:szCs w:val="18"/>
              </w:rPr>
              <w:t>Samproduktion</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BE9F7D7" w14:textId="77777777" w:rsidR="009E2868" w:rsidRDefault="00F20DCF" w:rsidP="009E2868">
            <w:pPr>
              <w:numPr>
                <w:ilvl w:val="0"/>
                <w:numId w:val="24"/>
              </w:numPr>
              <w:spacing w:before="40" w:after="40"/>
              <w:ind w:left="357" w:hanging="357"/>
              <w:contextualSpacing/>
              <w:rPr>
                <w:rFonts w:ascii="Calibri" w:hAnsi="Calibri"/>
                <w:sz w:val="18"/>
                <w:szCs w:val="18"/>
                <w:lang w:val="en-US"/>
              </w:rPr>
            </w:pPr>
            <w:r w:rsidRPr="00F20DCF">
              <w:rPr>
                <w:rFonts w:ascii="Calibri" w:hAnsi="Calibri"/>
                <w:sz w:val="18"/>
                <w:szCs w:val="18"/>
                <w:lang w:val="en-US"/>
              </w:rPr>
              <w:t>High School Musical (med M&amp;T)</w:t>
            </w:r>
          </w:p>
          <w:p w14:paraId="39D5D410" w14:textId="77777777" w:rsidR="00F20DCF" w:rsidRDefault="00F20DCF" w:rsidP="009E2868">
            <w:pPr>
              <w:numPr>
                <w:ilvl w:val="0"/>
                <w:numId w:val="24"/>
              </w:numPr>
              <w:spacing w:before="40" w:after="40"/>
              <w:ind w:left="357" w:hanging="357"/>
              <w:contextualSpacing/>
              <w:rPr>
                <w:rFonts w:ascii="Calibri" w:hAnsi="Calibri"/>
                <w:sz w:val="18"/>
                <w:szCs w:val="18"/>
              </w:rPr>
            </w:pPr>
            <w:r w:rsidRPr="00F20DCF">
              <w:rPr>
                <w:rFonts w:ascii="Calibri" w:hAnsi="Calibri"/>
                <w:sz w:val="18"/>
                <w:szCs w:val="18"/>
              </w:rPr>
              <w:t>Hal Bal (med Teater O)</w:t>
            </w:r>
          </w:p>
          <w:p w14:paraId="5B35454C" w14:textId="77777777" w:rsidR="00F20DCF" w:rsidRPr="00F20DCF" w:rsidRDefault="00F20DCF" w:rsidP="009E2868">
            <w:pPr>
              <w:numPr>
                <w:ilvl w:val="0"/>
                <w:numId w:val="24"/>
              </w:numPr>
              <w:spacing w:before="40" w:after="40"/>
              <w:ind w:left="357" w:hanging="357"/>
              <w:contextualSpacing/>
              <w:rPr>
                <w:rFonts w:ascii="Calibri" w:hAnsi="Calibri"/>
                <w:sz w:val="18"/>
                <w:szCs w:val="18"/>
              </w:rPr>
            </w:pPr>
            <w:r>
              <w:rPr>
                <w:rFonts w:ascii="Calibri" w:hAnsi="Calibri"/>
                <w:sz w:val="18"/>
                <w:szCs w:val="18"/>
              </w:rPr>
              <w:t>Pippi Langstrømpe (med MCH, Herning)</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25B06C7F" w14:textId="77777777" w:rsidR="009E2868" w:rsidRPr="00F20DCF" w:rsidRDefault="00F20DCF" w:rsidP="009E2868">
            <w:pPr>
              <w:spacing w:before="40" w:after="40"/>
              <w:jc w:val="right"/>
              <w:rPr>
                <w:sz w:val="18"/>
                <w:szCs w:val="18"/>
                <w:lang w:val="en-US"/>
              </w:rPr>
            </w:pPr>
            <w:r>
              <w:rPr>
                <w:sz w:val="18"/>
                <w:szCs w:val="18"/>
                <w:lang w:val="en-US"/>
              </w:rPr>
              <w:t>2</w:t>
            </w:r>
            <w:r>
              <w:rPr>
                <w:sz w:val="18"/>
                <w:szCs w:val="18"/>
                <w:lang w:val="en-US"/>
              </w:rPr>
              <w:br/>
              <w:t>12</w:t>
            </w:r>
            <w:r>
              <w:rPr>
                <w:sz w:val="18"/>
                <w:szCs w:val="18"/>
                <w:lang w:val="en-US"/>
              </w:rPr>
              <w:br/>
              <w:t>6</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C3F0F96" w14:textId="77777777" w:rsidR="009E2868" w:rsidRPr="00F20DCF" w:rsidRDefault="00F20DCF" w:rsidP="009E2868">
            <w:pPr>
              <w:spacing w:before="40" w:after="40"/>
              <w:jc w:val="right"/>
              <w:rPr>
                <w:sz w:val="18"/>
                <w:szCs w:val="18"/>
                <w:lang w:val="en-US"/>
              </w:rPr>
            </w:pPr>
            <w:r>
              <w:rPr>
                <w:sz w:val="18"/>
                <w:szCs w:val="18"/>
                <w:lang w:val="en-US"/>
              </w:rPr>
              <w:br/>
              <w:t>50</w:t>
            </w:r>
            <w:r>
              <w:rPr>
                <w:sz w:val="18"/>
                <w:szCs w:val="18"/>
                <w:lang w:val="en-US"/>
              </w:rPr>
              <w:br/>
              <w:t>6</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A45EA53" w14:textId="77777777" w:rsidR="009E2868" w:rsidRPr="00F20DCF" w:rsidRDefault="00F20DCF" w:rsidP="009E2868">
            <w:pPr>
              <w:spacing w:before="40" w:after="40"/>
              <w:jc w:val="right"/>
              <w:rPr>
                <w:sz w:val="18"/>
                <w:szCs w:val="18"/>
                <w:lang w:val="en-US"/>
              </w:rPr>
            </w:pPr>
            <w:r>
              <w:rPr>
                <w:sz w:val="18"/>
                <w:szCs w:val="18"/>
                <w:lang w:val="en-US"/>
              </w:rPr>
              <w:t>1.500</w:t>
            </w:r>
            <w:r>
              <w:rPr>
                <w:sz w:val="18"/>
                <w:szCs w:val="18"/>
                <w:lang w:val="en-US"/>
              </w:rPr>
              <w:br/>
              <w:t>1.000</w:t>
            </w:r>
            <w:r>
              <w:rPr>
                <w:sz w:val="18"/>
                <w:szCs w:val="18"/>
                <w:lang w:val="en-US"/>
              </w:rPr>
              <w:br/>
              <w:t>3.200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73B3D4F" w14:textId="77777777" w:rsidR="009E2868" w:rsidRPr="00F20DCF" w:rsidRDefault="00F20DCF" w:rsidP="009E2868">
            <w:pPr>
              <w:spacing w:before="40" w:after="40"/>
              <w:jc w:val="right"/>
              <w:rPr>
                <w:sz w:val="18"/>
                <w:szCs w:val="18"/>
                <w:lang w:val="en-US"/>
              </w:rPr>
            </w:pPr>
            <w:r>
              <w:rPr>
                <w:sz w:val="18"/>
                <w:szCs w:val="18"/>
                <w:lang w:val="en-US"/>
              </w:rPr>
              <w:br/>
              <w:t>5.000</w:t>
            </w:r>
            <w:r>
              <w:rPr>
                <w:sz w:val="18"/>
                <w:szCs w:val="18"/>
                <w:lang w:val="en-US"/>
              </w:rPr>
              <w:br/>
              <w:t>4.000</w:t>
            </w:r>
          </w:p>
        </w:tc>
      </w:tr>
      <w:tr w:rsidR="009E2868" w:rsidRPr="009E2868" w14:paraId="08A1EECC" w14:textId="77777777" w:rsidTr="009E2868">
        <w:tc>
          <w:tcPr>
            <w:tcW w:w="900"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0516AABD" w14:textId="77777777" w:rsidR="009E2868" w:rsidRPr="009E2868" w:rsidRDefault="009E2868" w:rsidP="009E2868">
            <w:pPr>
              <w:spacing w:before="40" w:after="40"/>
              <w:rPr>
                <w:i/>
                <w:sz w:val="18"/>
                <w:szCs w:val="18"/>
              </w:rPr>
            </w:pPr>
            <w:r w:rsidRPr="009E2868">
              <w:rPr>
                <w:i/>
                <w:sz w:val="18"/>
                <w:szCs w:val="18"/>
              </w:rPr>
              <w:t>Genopsætning:</w:t>
            </w:r>
          </w:p>
        </w:tc>
        <w:tc>
          <w:tcPr>
            <w:tcW w:w="2117"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1A0BFD1" w14:textId="77777777" w:rsidR="009E2868" w:rsidRPr="009E2868" w:rsidRDefault="00F20DCF" w:rsidP="009E2868">
            <w:pPr>
              <w:numPr>
                <w:ilvl w:val="0"/>
                <w:numId w:val="25"/>
              </w:numPr>
              <w:spacing w:before="40" w:after="40"/>
              <w:ind w:left="357" w:hanging="357"/>
              <w:contextualSpacing/>
              <w:rPr>
                <w:rFonts w:ascii="Calibri" w:hAnsi="Calibri"/>
                <w:sz w:val="18"/>
                <w:szCs w:val="18"/>
                <w:lang w:val="it-IT"/>
              </w:rPr>
            </w:pPr>
            <w:r>
              <w:rPr>
                <w:rFonts w:ascii="Calibri" w:hAnsi="Calibri"/>
                <w:sz w:val="18"/>
                <w:szCs w:val="18"/>
                <w:lang w:val="it-IT"/>
              </w:rPr>
              <w:t>100 Likes</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1EEBA6BF" w14:textId="77777777" w:rsidR="009E2868" w:rsidRPr="009E2868" w:rsidRDefault="00F20DCF" w:rsidP="009E2868">
            <w:pPr>
              <w:spacing w:before="40" w:after="40"/>
              <w:jc w:val="right"/>
              <w:rPr>
                <w:sz w:val="18"/>
                <w:szCs w:val="18"/>
              </w:rPr>
            </w:pPr>
            <w:r>
              <w:rPr>
                <w:sz w:val="18"/>
                <w:szCs w:val="18"/>
              </w:rPr>
              <w:t>2</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51689D7D" w14:textId="77777777" w:rsidR="009E2868" w:rsidRPr="009E2868" w:rsidRDefault="00F20DCF" w:rsidP="009E2868">
            <w:pPr>
              <w:spacing w:before="40" w:after="40"/>
              <w:jc w:val="right"/>
              <w:rPr>
                <w:sz w:val="18"/>
                <w:szCs w:val="18"/>
              </w:rPr>
            </w:pPr>
            <w:r>
              <w:rPr>
                <w:sz w:val="18"/>
                <w:szCs w:val="18"/>
              </w:rPr>
              <w:t>35</w:t>
            </w:r>
          </w:p>
        </w:tc>
        <w:tc>
          <w:tcPr>
            <w:tcW w:w="496"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356EB5C7" w14:textId="77777777" w:rsidR="009E2868" w:rsidRPr="009E2868" w:rsidRDefault="00F20DCF" w:rsidP="009E2868">
            <w:pPr>
              <w:spacing w:before="40" w:after="40"/>
              <w:jc w:val="right"/>
              <w:rPr>
                <w:sz w:val="18"/>
                <w:szCs w:val="18"/>
              </w:rPr>
            </w:pPr>
            <w:r>
              <w:rPr>
                <w:sz w:val="18"/>
                <w:szCs w:val="18"/>
              </w:rPr>
              <w:t>120</w:t>
            </w:r>
          </w:p>
        </w:tc>
        <w:tc>
          <w:tcPr>
            <w:tcW w:w="495" w:type="pct"/>
            <w:tcBorders>
              <w:top w:val="dashed" w:sz="4" w:space="0" w:color="403152" w:themeColor="accent3"/>
              <w:left w:val="single" w:sz="4" w:space="0" w:color="403152" w:themeColor="accent3"/>
              <w:bottom w:val="dashed" w:sz="4" w:space="0" w:color="403152" w:themeColor="accent3"/>
              <w:right w:val="single" w:sz="4" w:space="0" w:color="403152" w:themeColor="accent3"/>
            </w:tcBorders>
            <w:shd w:val="clear" w:color="auto" w:fill="FFFFFF" w:themeFill="background1"/>
          </w:tcPr>
          <w:p w14:paraId="73406650" w14:textId="77777777" w:rsidR="009E2868" w:rsidRPr="009E2868" w:rsidRDefault="00F20DCF" w:rsidP="009E2868">
            <w:pPr>
              <w:spacing w:before="40" w:after="40"/>
              <w:jc w:val="right"/>
              <w:rPr>
                <w:sz w:val="18"/>
                <w:szCs w:val="18"/>
              </w:rPr>
            </w:pPr>
            <w:r>
              <w:rPr>
                <w:sz w:val="18"/>
                <w:szCs w:val="18"/>
              </w:rPr>
              <w:t>3.000</w:t>
            </w:r>
          </w:p>
        </w:tc>
      </w:tr>
      <w:tr w:rsidR="009E2868" w:rsidRPr="009E2868" w14:paraId="2688073B" w14:textId="77777777" w:rsidTr="009E2868">
        <w:tc>
          <w:tcPr>
            <w:tcW w:w="900"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4752B298" w14:textId="77777777" w:rsidR="009E2868" w:rsidRPr="009E2868" w:rsidRDefault="009E2868" w:rsidP="009E2868">
            <w:pPr>
              <w:spacing w:before="40" w:after="40"/>
              <w:rPr>
                <w:b/>
                <w:sz w:val="18"/>
                <w:szCs w:val="18"/>
              </w:rPr>
            </w:pPr>
            <w:r w:rsidRPr="009E2868">
              <w:rPr>
                <w:b/>
                <w:sz w:val="18"/>
                <w:szCs w:val="18"/>
              </w:rPr>
              <w:t>Total – 201</w:t>
            </w:r>
            <w:r>
              <w:rPr>
                <w:b/>
                <w:sz w:val="18"/>
                <w:szCs w:val="18"/>
              </w:rPr>
              <w:t>5</w:t>
            </w:r>
          </w:p>
        </w:tc>
        <w:tc>
          <w:tcPr>
            <w:tcW w:w="2117"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4A9A4AAF" w14:textId="77777777" w:rsidR="009E2868" w:rsidRPr="009E2868" w:rsidRDefault="009E2868" w:rsidP="009E2868">
            <w:pPr>
              <w:spacing w:before="40" w:after="40"/>
              <w:rPr>
                <w:b/>
                <w:sz w:val="18"/>
                <w:szCs w:val="18"/>
              </w:rPr>
            </w:pP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1C2FF0C5" w14:textId="77777777" w:rsidR="009E2868" w:rsidRPr="009E2868" w:rsidRDefault="00F20DCF" w:rsidP="009E2868">
            <w:pPr>
              <w:spacing w:before="40" w:after="40"/>
              <w:jc w:val="right"/>
              <w:rPr>
                <w:b/>
                <w:sz w:val="18"/>
                <w:szCs w:val="18"/>
              </w:rPr>
            </w:pPr>
            <w:r>
              <w:rPr>
                <w:b/>
                <w:sz w:val="18"/>
                <w:szCs w:val="18"/>
              </w:rPr>
              <w:t>36</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76347D32" w14:textId="77777777" w:rsidR="009E2868" w:rsidRPr="009E2868" w:rsidRDefault="00F20DCF" w:rsidP="009E2868">
            <w:pPr>
              <w:spacing w:before="40" w:after="40"/>
              <w:jc w:val="right"/>
              <w:rPr>
                <w:b/>
                <w:sz w:val="18"/>
                <w:szCs w:val="18"/>
              </w:rPr>
            </w:pPr>
            <w:r>
              <w:rPr>
                <w:b/>
                <w:sz w:val="18"/>
                <w:szCs w:val="18"/>
              </w:rPr>
              <w:t>134</w:t>
            </w:r>
          </w:p>
        </w:tc>
        <w:tc>
          <w:tcPr>
            <w:tcW w:w="496"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56B3D9E1" w14:textId="77777777" w:rsidR="009E2868" w:rsidRPr="009E2868" w:rsidRDefault="00F20DCF" w:rsidP="009E2868">
            <w:pPr>
              <w:spacing w:before="40" w:after="40"/>
              <w:jc w:val="right"/>
              <w:rPr>
                <w:b/>
                <w:sz w:val="18"/>
                <w:szCs w:val="18"/>
              </w:rPr>
            </w:pPr>
            <w:r>
              <w:rPr>
                <w:b/>
                <w:sz w:val="18"/>
                <w:szCs w:val="18"/>
              </w:rPr>
              <w:t>13.320</w:t>
            </w:r>
          </w:p>
        </w:tc>
        <w:tc>
          <w:tcPr>
            <w:tcW w:w="495" w:type="pct"/>
            <w:tcBorders>
              <w:top w:val="dashed" w:sz="4" w:space="0" w:color="403152" w:themeColor="accent3"/>
              <w:left w:val="single" w:sz="4" w:space="0" w:color="403152" w:themeColor="accent3"/>
              <w:bottom w:val="single" w:sz="4" w:space="0" w:color="403152" w:themeColor="accent3"/>
              <w:right w:val="single" w:sz="4" w:space="0" w:color="403152" w:themeColor="accent3"/>
            </w:tcBorders>
          </w:tcPr>
          <w:p w14:paraId="4CBA6A2C" w14:textId="77777777" w:rsidR="009E2868" w:rsidRPr="009E2868" w:rsidRDefault="00F20DCF" w:rsidP="009E2868">
            <w:pPr>
              <w:spacing w:before="40" w:after="40"/>
              <w:jc w:val="right"/>
              <w:rPr>
                <w:b/>
                <w:sz w:val="18"/>
                <w:szCs w:val="18"/>
              </w:rPr>
            </w:pPr>
            <w:r>
              <w:rPr>
                <w:b/>
                <w:sz w:val="18"/>
                <w:szCs w:val="18"/>
              </w:rPr>
              <w:t>35.000</w:t>
            </w:r>
          </w:p>
        </w:tc>
      </w:tr>
    </w:tbl>
    <w:p w14:paraId="4B8A35D4" w14:textId="77777777" w:rsidR="0018085D" w:rsidRPr="00796E8E" w:rsidRDefault="00362651" w:rsidP="0018085D">
      <w:pPr>
        <w:rPr>
          <w:sz w:val="18"/>
          <w:szCs w:val="18"/>
        </w:rPr>
      </w:pPr>
      <w:r>
        <w:rPr>
          <w:sz w:val="18"/>
          <w:szCs w:val="18"/>
        </w:rPr>
        <w:br/>
      </w:r>
      <w:r w:rsidR="00796E8E">
        <w:rPr>
          <w:sz w:val="18"/>
          <w:szCs w:val="18"/>
        </w:rPr>
        <w:t>*) Ikke med i sammentælling af egenproduktioner</w:t>
      </w:r>
      <w:r w:rsidR="00796E8E" w:rsidRPr="00796E8E">
        <w:rPr>
          <w:sz w:val="18"/>
          <w:szCs w:val="18"/>
        </w:rPr>
        <w:t xml:space="preserve"> </w:t>
      </w:r>
    </w:p>
    <w:p w14:paraId="103FE63A" w14:textId="77777777" w:rsidR="00796E8E" w:rsidRDefault="00796E8E" w:rsidP="0018085D">
      <w:pPr>
        <w:rPr>
          <w:color w:val="FF0000"/>
        </w:rPr>
      </w:pPr>
    </w:p>
    <w:p w14:paraId="7E6FFB3C" w14:textId="77777777" w:rsidR="007832A6" w:rsidRDefault="007832A6" w:rsidP="000D0E77">
      <w:r>
        <w:t>I tabel 4 beregnes belægningsprocenterne for produktionerne i 2015.</w:t>
      </w:r>
      <w:r w:rsidR="00031BF6">
        <w:t xml:space="preserve"> Inviterede gæster afregnes internt mellem Musikteatret og Black Box Theatre, og der kan derfor ikke opgøres værdibelægning</w:t>
      </w:r>
    </w:p>
    <w:p w14:paraId="29062788" w14:textId="77777777" w:rsidR="003E29AC" w:rsidRDefault="003E29AC" w:rsidP="000D0E77"/>
    <w:p w14:paraId="6C275443" w14:textId="77777777" w:rsidR="00C24B0A" w:rsidRPr="00D95F03" w:rsidRDefault="00C24B0A" w:rsidP="00640B79">
      <w:pPr>
        <w:rPr>
          <w:b/>
          <w:color w:val="FF0000"/>
          <w:sz w:val="18"/>
          <w:szCs w:val="18"/>
        </w:rPr>
      </w:pPr>
      <w:r w:rsidRPr="00D95F03">
        <w:rPr>
          <w:b/>
          <w:sz w:val="18"/>
          <w:szCs w:val="18"/>
        </w:rPr>
        <w:t xml:space="preserve">Tabel </w:t>
      </w:r>
      <w:r w:rsidR="002655F0" w:rsidRPr="00D95F03">
        <w:rPr>
          <w:b/>
          <w:sz w:val="18"/>
          <w:szCs w:val="18"/>
        </w:rPr>
        <w:fldChar w:fldCharType="begin"/>
      </w:r>
      <w:r w:rsidR="002655F0" w:rsidRPr="00D95F03">
        <w:rPr>
          <w:b/>
          <w:sz w:val="18"/>
          <w:szCs w:val="18"/>
        </w:rPr>
        <w:instrText xml:space="preserve"> SEQ Tabel \* ARABIC </w:instrText>
      </w:r>
      <w:r w:rsidR="002655F0" w:rsidRPr="00D95F03">
        <w:rPr>
          <w:b/>
          <w:sz w:val="18"/>
          <w:szCs w:val="18"/>
        </w:rPr>
        <w:fldChar w:fldCharType="separate"/>
      </w:r>
      <w:r w:rsidR="0025703B">
        <w:rPr>
          <w:b/>
          <w:noProof/>
          <w:sz w:val="18"/>
          <w:szCs w:val="18"/>
        </w:rPr>
        <w:t>4</w:t>
      </w:r>
      <w:r w:rsidR="002655F0" w:rsidRPr="00D95F03">
        <w:rPr>
          <w:b/>
          <w:noProof/>
          <w:sz w:val="18"/>
          <w:szCs w:val="18"/>
        </w:rPr>
        <w:fldChar w:fldCharType="end"/>
      </w:r>
      <w:r w:rsidR="005A18FF" w:rsidRPr="00D95F03">
        <w:rPr>
          <w:b/>
          <w:sz w:val="18"/>
          <w:szCs w:val="18"/>
        </w:rPr>
        <w:t>: Be</w:t>
      </w:r>
      <w:r w:rsidR="0066162B" w:rsidRPr="00D95F03">
        <w:rPr>
          <w:b/>
          <w:sz w:val="18"/>
          <w:szCs w:val="18"/>
        </w:rPr>
        <w:t>lægningsprocenter i 2015</w:t>
      </w:r>
      <w:r w:rsidRPr="00D95F03">
        <w:rPr>
          <w:b/>
          <w:sz w:val="18"/>
          <w:szCs w:val="18"/>
        </w:rPr>
        <w:t>, antal lokalt spillede, ikke-gratis forestillinger (procentpoint afrundet til nærmeste hele tal)</w:t>
      </w:r>
      <w:r w:rsidR="0066162B" w:rsidRPr="00D95F03">
        <w:rPr>
          <w:b/>
          <w:sz w:val="18"/>
          <w:szCs w:val="18"/>
        </w:rPr>
        <w:t xml:space="preserve"> </w:t>
      </w:r>
      <w:r w:rsidR="00D95F03" w:rsidRPr="00D95F03">
        <w:rPr>
          <w:b/>
          <w:sz w:val="18"/>
          <w:szCs w:val="18"/>
        </w:rPr>
        <w:br/>
      </w:r>
    </w:p>
    <w:tbl>
      <w:tblPr>
        <w:tblW w:w="4332" w:type="pct"/>
        <w:tblBorders>
          <w:top w:val="single" w:sz="4" w:space="0" w:color="403152" w:themeColor="accent3"/>
          <w:left w:val="single" w:sz="4" w:space="0" w:color="403152" w:themeColor="accent3"/>
          <w:bottom w:val="single" w:sz="4" w:space="0" w:color="403152" w:themeColor="accent3"/>
          <w:right w:val="single" w:sz="4" w:space="0" w:color="403152" w:themeColor="accent3"/>
          <w:insideH w:val="single" w:sz="4" w:space="0" w:color="403152" w:themeColor="accent3"/>
          <w:insideV w:val="single" w:sz="4" w:space="0" w:color="403152" w:themeColor="accent3"/>
        </w:tblBorders>
        <w:tblCellMar>
          <w:left w:w="0" w:type="dxa"/>
          <w:right w:w="0" w:type="dxa"/>
        </w:tblCellMar>
        <w:tblLook w:val="04A0" w:firstRow="1" w:lastRow="0" w:firstColumn="1" w:lastColumn="0" w:noHBand="0" w:noVBand="1"/>
      </w:tblPr>
      <w:tblGrid>
        <w:gridCol w:w="1865"/>
        <w:gridCol w:w="1296"/>
        <w:gridCol w:w="1296"/>
        <w:gridCol w:w="1296"/>
        <w:gridCol w:w="1296"/>
        <w:gridCol w:w="1293"/>
      </w:tblGrid>
      <w:tr w:rsidR="00031BF6" w:rsidRPr="00C24B0A" w14:paraId="50EC0A3F" w14:textId="77777777" w:rsidTr="00031BF6">
        <w:tc>
          <w:tcPr>
            <w:tcW w:w="1117" w:type="pct"/>
            <w:shd w:val="clear" w:color="auto" w:fill="403152" w:themeFill="accent3"/>
            <w:tcMar>
              <w:top w:w="0" w:type="dxa"/>
              <w:left w:w="108" w:type="dxa"/>
              <w:bottom w:w="0" w:type="dxa"/>
              <w:right w:w="108" w:type="dxa"/>
            </w:tcMar>
            <w:hideMark/>
          </w:tcPr>
          <w:p w14:paraId="3BD86F99" w14:textId="77777777" w:rsidR="00031BF6" w:rsidRPr="00C24B0A" w:rsidRDefault="00031BF6" w:rsidP="002A11D7">
            <w:pPr>
              <w:spacing w:before="40" w:after="40" w:line="240" w:lineRule="auto"/>
              <w:rPr>
                <w:b/>
                <w:color w:val="FFFFFF" w:themeColor="background1"/>
                <w:sz w:val="18"/>
                <w:szCs w:val="18"/>
              </w:rPr>
            </w:pPr>
            <w:r w:rsidRPr="00C24B0A">
              <w:rPr>
                <w:b/>
                <w:color w:val="FFFFFF" w:themeColor="background1"/>
                <w:sz w:val="18"/>
                <w:szCs w:val="18"/>
              </w:rPr>
              <w:t>Forestillinger</w:t>
            </w:r>
            <w:r w:rsidRPr="00C24B0A">
              <w:rPr>
                <w:b/>
                <w:color w:val="FFFFFF" w:themeColor="background1"/>
                <w:sz w:val="18"/>
                <w:szCs w:val="18"/>
              </w:rPr>
              <w:br/>
              <w:t>201</w:t>
            </w:r>
            <w:r>
              <w:rPr>
                <w:b/>
                <w:color w:val="FFFFFF" w:themeColor="background1"/>
                <w:sz w:val="18"/>
                <w:szCs w:val="18"/>
              </w:rPr>
              <w:t>5</w:t>
            </w:r>
          </w:p>
        </w:tc>
        <w:tc>
          <w:tcPr>
            <w:tcW w:w="777" w:type="pct"/>
            <w:shd w:val="clear" w:color="auto" w:fill="403152" w:themeFill="accent3"/>
          </w:tcPr>
          <w:p w14:paraId="793E11BA" w14:textId="77777777" w:rsidR="00031BF6" w:rsidRPr="00C24B0A" w:rsidRDefault="00031BF6" w:rsidP="002A11D7">
            <w:pPr>
              <w:spacing w:before="40" w:after="40" w:line="240" w:lineRule="auto"/>
              <w:jc w:val="center"/>
              <w:rPr>
                <w:b/>
                <w:color w:val="FFFFFF" w:themeColor="background1"/>
                <w:sz w:val="18"/>
                <w:szCs w:val="18"/>
              </w:rPr>
            </w:pPr>
            <w:r w:rsidRPr="00C24B0A">
              <w:rPr>
                <w:b/>
                <w:color w:val="FFFFFF" w:themeColor="background1"/>
                <w:sz w:val="18"/>
                <w:szCs w:val="18"/>
              </w:rPr>
              <w:t>Antal forestillinger</w:t>
            </w:r>
          </w:p>
        </w:tc>
        <w:tc>
          <w:tcPr>
            <w:tcW w:w="777" w:type="pct"/>
            <w:shd w:val="clear" w:color="auto" w:fill="403152" w:themeFill="accent3"/>
            <w:tcMar>
              <w:top w:w="0" w:type="dxa"/>
              <w:left w:w="108" w:type="dxa"/>
              <w:bottom w:w="0" w:type="dxa"/>
              <w:right w:w="108" w:type="dxa"/>
            </w:tcMar>
            <w:hideMark/>
          </w:tcPr>
          <w:p w14:paraId="5D3B01E8" w14:textId="77777777" w:rsidR="00031BF6" w:rsidRPr="00C24B0A" w:rsidRDefault="00031BF6" w:rsidP="002A11D7">
            <w:pPr>
              <w:spacing w:before="40" w:after="40" w:line="240" w:lineRule="auto"/>
              <w:jc w:val="center"/>
              <w:rPr>
                <w:b/>
                <w:color w:val="FFFFFF" w:themeColor="background1"/>
                <w:sz w:val="18"/>
                <w:szCs w:val="18"/>
              </w:rPr>
            </w:pPr>
            <w:r w:rsidRPr="00C24B0A">
              <w:rPr>
                <w:b/>
                <w:color w:val="FFFFFF" w:themeColor="background1"/>
                <w:sz w:val="18"/>
                <w:szCs w:val="18"/>
              </w:rPr>
              <w:t>Inviterede</w:t>
            </w:r>
            <w:r w:rsidRPr="00C24B0A">
              <w:rPr>
                <w:b/>
                <w:color w:val="FFFFFF" w:themeColor="background1"/>
                <w:sz w:val="18"/>
                <w:szCs w:val="18"/>
              </w:rPr>
              <w:br/>
              <w:t>publikum</w:t>
            </w:r>
          </w:p>
        </w:tc>
        <w:tc>
          <w:tcPr>
            <w:tcW w:w="777" w:type="pct"/>
            <w:shd w:val="clear" w:color="auto" w:fill="403152" w:themeFill="accent3"/>
            <w:tcMar>
              <w:top w:w="0" w:type="dxa"/>
              <w:left w:w="108" w:type="dxa"/>
              <w:bottom w:w="0" w:type="dxa"/>
              <w:right w:w="108" w:type="dxa"/>
            </w:tcMar>
            <w:hideMark/>
          </w:tcPr>
          <w:p w14:paraId="3BC50C81" w14:textId="77777777" w:rsidR="00031BF6" w:rsidRPr="00C24B0A" w:rsidRDefault="00031BF6" w:rsidP="002A11D7">
            <w:pPr>
              <w:spacing w:before="40" w:after="40" w:line="240" w:lineRule="auto"/>
              <w:jc w:val="center"/>
              <w:rPr>
                <w:b/>
                <w:color w:val="FFFFFF" w:themeColor="background1"/>
                <w:sz w:val="18"/>
                <w:szCs w:val="18"/>
              </w:rPr>
            </w:pPr>
            <w:r w:rsidRPr="00C24B0A">
              <w:rPr>
                <w:b/>
                <w:color w:val="FFFFFF" w:themeColor="background1"/>
                <w:sz w:val="18"/>
                <w:szCs w:val="18"/>
              </w:rPr>
              <w:t>Betalende</w:t>
            </w:r>
            <w:r w:rsidRPr="00C24B0A">
              <w:rPr>
                <w:b/>
                <w:color w:val="FFFFFF" w:themeColor="background1"/>
                <w:sz w:val="18"/>
                <w:szCs w:val="18"/>
              </w:rPr>
              <w:br/>
              <w:t>publikum</w:t>
            </w:r>
          </w:p>
        </w:tc>
        <w:tc>
          <w:tcPr>
            <w:tcW w:w="777" w:type="pct"/>
            <w:shd w:val="clear" w:color="auto" w:fill="403152" w:themeFill="accent3"/>
            <w:tcMar>
              <w:top w:w="0" w:type="dxa"/>
              <w:left w:w="108" w:type="dxa"/>
              <w:bottom w:w="0" w:type="dxa"/>
              <w:right w:w="108" w:type="dxa"/>
            </w:tcMar>
            <w:hideMark/>
          </w:tcPr>
          <w:p w14:paraId="117D87EF" w14:textId="77777777" w:rsidR="00031BF6" w:rsidRPr="00C24B0A" w:rsidRDefault="00031BF6" w:rsidP="002A11D7">
            <w:pPr>
              <w:spacing w:before="40" w:after="40" w:line="240" w:lineRule="auto"/>
              <w:jc w:val="center"/>
              <w:rPr>
                <w:b/>
                <w:color w:val="FFFFFF" w:themeColor="background1"/>
                <w:sz w:val="18"/>
                <w:szCs w:val="18"/>
              </w:rPr>
            </w:pPr>
            <w:r w:rsidRPr="00C24B0A">
              <w:rPr>
                <w:b/>
                <w:color w:val="FFFFFF" w:themeColor="background1"/>
                <w:sz w:val="18"/>
                <w:szCs w:val="18"/>
              </w:rPr>
              <w:t>Antal pladser</w:t>
            </w:r>
            <w:r w:rsidRPr="00C24B0A">
              <w:rPr>
                <w:b/>
                <w:color w:val="FFFFFF" w:themeColor="background1"/>
                <w:sz w:val="18"/>
                <w:szCs w:val="18"/>
              </w:rPr>
              <w:br/>
              <w:t>i alt</w:t>
            </w:r>
          </w:p>
        </w:tc>
        <w:tc>
          <w:tcPr>
            <w:tcW w:w="777" w:type="pct"/>
            <w:shd w:val="clear" w:color="auto" w:fill="403152" w:themeFill="accent3"/>
            <w:tcMar>
              <w:top w:w="0" w:type="dxa"/>
              <w:left w:w="108" w:type="dxa"/>
              <w:bottom w:w="0" w:type="dxa"/>
              <w:right w:w="108" w:type="dxa"/>
            </w:tcMar>
            <w:hideMark/>
          </w:tcPr>
          <w:p w14:paraId="17D491DA" w14:textId="77777777" w:rsidR="00031BF6" w:rsidRPr="00C24B0A" w:rsidRDefault="00031BF6" w:rsidP="002A11D7">
            <w:pPr>
              <w:spacing w:before="40" w:after="40" w:line="240" w:lineRule="auto"/>
              <w:jc w:val="center"/>
              <w:rPr>
                <w:b/>
                <w:color w:val="FFFFFF" w:themeColor="background1"/>
                <w:sz w:val="18"/>
                <w:szCs w:val="18"/>
              </w:rPr>
            </w:pPr>
            <w:r w:rsidRPr="00C24B0A">
              <w:rPr>
                <w:b/>
                <w:color w:val="FFFFFF" w:themeColor="background1"/>
                <w:sz w:val="18"/>
                <w:szCs w:val="18"/>
              </w:rPr>
              <w:t>Sæde-belægning</w:t>
            </w:r>
          </w:p>
        </w:tc>
      </w:tr>
      <w:tr w:rsidR="00031BF6" w:rsidRPr="00C24B0A" w14:paraId="24BD60FA" w14:textId="77777777" w:rsidTr="00031BF6">
        <w:trPr>
          <w:trHeight w:val="397"/>
        </w:trPr>
        <w:tc>
          <w:tcPr>
            <w:tcW w:w="1117" w:type="pct"/>
            <w:tcMar>
              <w:top w:w="0" w:type="dxa"/>
              <w:left w:w="108" w:type="dxa"/>
              <w:bottom w:w="0" w:type="dxa"/>
              <w:right w:w="108" w:type="dxa"/>
            </w:tcMar>
            <w:vAlign w:val="center"/>
          </w:tcPr>
          <w:p w14:paraId="0A51F99E" w14:textId="77777777" w:rsidR="00031BF6" w:rsidRPr="00C24B0A" w:rsidRDefault="00031BF6" w:rsidP="002A11D7">
            <w:pPr>
              <w:spacing w:before="40" w:after="40" w:line="240" w:lineRule="auto"/>
              <w:rPr>
                <w:sz w:val="18"/>
                <w:szCs w:val="18"/>
              </w:rPr>
            </w:pPr>
            <w:r>
              <w:rPr>
                <w:sz w:val="18"/>
                <w:szCs w:val="18"/>
              </w:rPr>
              <w:t>Blinkende Lygter</w:t>
            </w:r>
          </w:p>
        </w:tc>
        <w:tc>
          <w:tcPr>
            <w:tcW w:w="777" w:type="pct"/>
            <w:vAlign w:val="center"/>
          </w:tcPr>
          <w:p w14:paraId="05E1D701" w14:textId="77777777" w:rsidR="00031BF6" w:rsidRPr="00C24B0A" w:rsidRDefault="00031BF6" w:rsidP="002A11D7">
            <w:pPr>
              <w:spacing w:before="40" w:after="40" w:line="240" w:lineRule="auto"/>
              <w:ind w:right="145"/>
              <w:jc w:val="right"/>
              <w:rPr>
                <w:sz w:val="18"/>
                <w:szCs w:val="18"/>
              </w:rPr>
            </w:pPr>
            <w:r>
              <w:rPr>
                <w:sz w:val="18"/>
                <w:szCs w:val="18"/>
              </w:rPr>
              <w:t>10</w:t>
            </w:r>
          </w:p>
        </w:tc>
        <w:tc>
          <w:tcPr>
            <w:tcW w:w="777" w:type="pct"/>
            <w:tcMar>
              <w:top w:w="0" w:type="dxa"/>
              <w:left w:w="108" w:type="dxa"/>
              <w:bottom w:w="0" w:type="dxa"/>
              <w:right w:w="108" w:type="dxa"/>
            </w:tcMar>
            <w:vAlign w:val="center"/>
          </w:tcPr>
          <w:p w14:paraId="4401E21B" w14:textId="77777777" w:rsidR="00031BF6" w:rsidRPr="00C24B0A" w:rsidRDefault="00031BF6" w:rsidP="002A11D7">
            <w:pPr>
              <w:spacing w:before="40" w:after="40" w:line="240" w:lineRule="auto"/>
              <w:jc w:val="right"/>
              <w:rPr>
                <w:sz w:val="18"/>
                <w:szCs w:val="18"/>
              </w:rPr>
            </w:pPr>
            <w:r>
              <w:rPr>
                <w:sz w:val="18"/>
                <w:szCs w:val="18"/>
              </w:rPr>
              <w:t>0</w:t>
            </w:r>
          </w:p>
        </w:tc>
        <w:tc>
          <w:tcPr>
            <w:tcW w:w="777" w:type="pct"/>
            <w:tcMar>
              <w:top w:w="0" w:type="dxa"/>
              <w:left w:w="108" w:type="dxa"/>
              <w:bottom w:w="0" w:type="dxa"/>
              <w:right w:w="108" w:type="dxa"/>
            </w:tcMar>
            <w:vAlign w:val="center"/>
          </w:tcPr>
          <w:p w14:paraId="174C0E1D" w14:textId="77777777" w:rsidR="00031BF6" w:rsidRPr="00C24B0A" w:rsidRDefault="00031BF6" w:rsidP="002A11D7">
            <w:pPr>
              <w:spacing w:before="40" w:after="40" w:line="240" w:lineRule="auto"/>
              <w:jc w:val="right"/>
              <w:rPr>
                <w:sz w:val="18"/>
                <w:szCs w:val="18"/>
              </w:rPr>
            </w:pPr>
            <w:r>
              <w:rPr>
                <w:sz w:val="18"/>
                <w:szCs w:val="18"/>
              </w:rPr>
              <w:t>6.000</w:t>
            </w:r>
          </w:p>
        </w:tc>
        <w:tc>
          <w:tcPr>
            <w:tcW w:w="777" w:type="pct"/>
            <w:tcMar>
              <w:top w:w="0" w:type="dxa"/>
              <w:left w:w="108" w:type="dxa"/>
              <w:bottom w:w="0" w:type="dxa"/>
              <w:right w:w="108" w:type="dxa"/>
            </w:tcMar>
            <w:vAlign w:val="center"/>
          </w:tcPr>
          <w:p w14:paraId="5BC61C04" w14:textId="77777777" w:rsidR="00031BF6" w:rsidRPr="00C24B0A" w:rsidRDefault="00031BF6" w:rsidP="002A11D7">
            <w:pPr>
              <w:spacing w:before="40" w:after="40" w:line="240" w:lineRule="auto"/>
              <w:jc w:val="right"/>
              <w:rPr>
                <w:sz w:val="18"/>
                <w:szCs w:val="18"/>
              </w:rPr>
            </w:pPr>
            <w:r>
              <w:rPr>
                <w:sz w:val="18"/>
                <w:szCs w:val="18"/>
              </w:rPr>
              <w:t>6.500</w:t>
            </w:r>
          </w:p>
        </w:tc>
        <w:tc>
          <w:tcPr>
            <w:tcW w:w="777" w:type="pct"/>
            <w:tcMar>
              <w:top w:w="0" w:type="dxa"/>
              <w:left w:w="108" w:type="dxa"/>
              <w:bottom w:w="0" w:type="dxa"/>
              <w:right w:w="108" w:type="dxa"/>
            </w:tcMar>
            <w:vAlign w:val="center"/>
          </w:tcPr>
          <w:p w14:paraId="5A2DA91B" w14:textId="77777777" w:rsidR="00031BF6" w:rsidRPr="00C24B0A" w:rsidRDefault="00031BF6" w:rsidP="002A11D7">
            <w:pPr>
              <w:spacing w:before="40" w:after="40" w:line="240" w:lineRule="auto"/>
              <w:jc w:val="right"/>
              <w:rPr>
                <w:sz w:val="18"/>
                <w:szCs w:val="18"/>
              </w:rPr>
            </w:pPr>
            <w:r>
              <w:rPr>
                <w:sz w:val="18"/>
                <w:szCs w:val="18"/>
              </w:rPr>
              <w:t>92 %</w:t>
            </w:r>
          </w:p>
        </w:tc>
      </w:tr>
      <w:tr w:rsidR="00031BF6" w:rsidRPr="00C24B0A" w14:paraId="10BFD21C" w14:textId="77777777" w:rsidTr="00031BF6">
        <w:trPr>
          <w:trHeight w:val="397"/>
        </w:trPr>
        <w:tc>
          <w:tcPr>
            <w:tcW w:w="1117" w:type="pct"/>
            <w:tcMar>
              <w:top w:w="0" w:type="dxa"/>
              <w:left w:w="108" w:type="dxa"/>
              <w:bottom w:w="0" w:type="dxa"/>
              <w:right w:w="108" w:type="dxa"/>
            </w:tcMar>
            <w:vAlign w:val="center"/>
          </w:tcPr>
          <w:p w14:paraId="103E2D71" w14:textId="77777777" w:rsidR="00031BF6" w:rsidRPr="00C24B0A" w:rsidRDefault="00031BF6" w:rsidP="002A11D7">
            <w:pPr>
              <w:spacing w:before="40" w:after="40" w:line="240" w:lineRule="auto"/>
              <w:rPr>
                <w:sz w:val="18"/>
                <w:szCs w:val="18"/>
              </w:rPr>
            </w:pPr>
            <w:r>
              <w:rPr>
                <w:sz w:val="18"/>
                <w:szCs w:val="18"/>
              </w:rPr>
              <w:t>Push</w:t>
            </w:r>
          </w:p>
        </w:tc>
        <w:tc>
          <w:tcPr>
            <w:tcW w:w="777" w:type="pct"/>
            <w:vAlign w:val="center"/>
          </w:tcPr>
          <w:p w14:paraId="3C61FAA1" w14:textId="77777777" w:rsidR="00031BF6" w:rsidRPr="00C24B0A" w:rsidRDefault="00031BF6" w:rsidP="002A11D7">
            <w:pPr>
              <w:spacing w:before="40" w:after="40" w:line="240" w:lineRule="auto"/>
              <w:ind w:right="145"/>
              <w:jc w:val="right"/>
              <w:rPr>
                <w:sz w:val="18"/>
                <w:szCs w:val="18"/>
              </w:rPr>
            </w:pPr>
            <w:r>
              <w:rPr>
                <w:sz w:val="18"/>
                <w:szCs w:val="18"/>
              </w:rPr>
              <w:t>4</w:t>
            </w:r>
          </w:p>
        </w:tc>
        <w:tc>
          <w:tcPr>
            <w:tcW w:w="777" w:type="pct"/>
            <w:tcMar>
              <w:top w:w="0" w:type="dxa"/>
              <w:left w:w="108" w:type="dxa"/>
              <w:bottom w:w="0" w:type="dxa"/>
              <w:right w:w="108" w:type="dxa"/>
            </w:tcMar>
            <w:vAlign w:val="center"/>
          </w:tcPr>
          <w:p w14:paraId="15D8BD45" w14:textId="77777777" w:rsidR="00031BF6" w:rsidRPr="00C24B0A" w:rsidRDefault="00031BF6" w:rsidP="002A11D7">
            <w:pPr>
              <w:spacing w:before="40" w:after="40" w:line="240" w:lineRule="auto"/>
              <w:jc w:val="right"/>
              <w:rPr>
                <w:sz w:val="18"/>
                <w:szCs w:val="18"/>
              </w:rPr>
            </w:pPr>
            <w:r>
              <w:rPr>
                <w:sz w:val="18"/>
                <w:szCs w:val="18"/>
              </w:rPr>
              <w:t>0</w:t>
            </w:r>
          </w:p>
        </w:tc>
        <w:tc>
          <w:tcPr>
            <w:tcW w:w="777" w:type="pct"/>
            <w:tcMar>
              <w:top w:w="0" w:type="dxa"/>
              <w:left w:w="108" w:type="dxa"/>
              <w:bottom w:w="0" w:type="dxa"/>
              <w:right w:w="108" w:type="dxa"/>
            </w:tcMar>
            <w:vAlign w:val="center"/>
          </w:tcPr>
          <w:p w14:paraId="36E1BE2F" w14:textId="77777777" w:rsidR="00031BF6" w:rsidRPr="00C24B0A" w:rsidRDefault="00031BF6" w:rsidP="002A11D7">
            <w:pPr>
              <w:spacing w:before="40" w:after="40" w:line="240" w:lineRule="auto"/>
              <w:jc w:val="right"/>
              <w:rPr>
                <w:sz w:val="18"/>
                <w:szCs w:val="18"/>
              </w:rPr>
            </w:pPr>
            <w:r>
              <w:rPr>
                <w:sz w:val="18"/>
                <w:szCs w:val="18"/>
              </w:rPr>
              <w:t>1.500</w:t>
            </w:r>
          </w:p>
        </w:tc>
        <w:tc>
          <w:tcPr>
            <w:tcW w:w="777" w:type="pct"/>
            <w:tcMar>
              <w:top w:w="0" w:type="dxa"/>
              <w:left w:w="108" w:type="dxa"/>
              <w:bottom w:w="0" w:type="dxa"/>
              <w:right w:w="108" w:type="dxa"/>
            </w:tcMar>
            <w:vAlign w:val="center"/>
          </w:tcPr>
          <w:p w14:paraId="0D49DACF" w14:textId="77777777" w:rsidR="00031BF6" w:rsidRPr="00C24B0A" w:rsidRDefault="00031BF6" w:rsidP="002A11D7">
            <w:pPr>
              <w:spacing w:before="40" w:after="40" w:line="240" w:lineRule="auto"/>
              <w:jc w:val="right"/>
              <w:rPr>
                <w:sz w:val="18"/>
                <w:szCs w:val="18"/>
              </w:rPr>
            </w:pPr>
            <w:r>
              <w:rPr>
                <w:sz w:val="18"/>
                <w:szCs w:val="18"/>
              </w:rPr>
              <w:t>2.000</w:t>
            </w:r>
          </w:p>
        </w:tc>
        <w:tc>
          <w:tcPr>
            <w:tcW w:w="777" w:type="pct"/>
            <w:tcMar>
              <w:top w:w="0" w:type="dxa"/>
              <w:left w:w="108" w:type="dxa"/>
              <w:bottom w:w="0" w:type="dxa"/>
              <w:right w:w="108" w:type="dxa"/>
            </w:tcMar>
            <w:vAlign w:val="center"/>
          </w:tcPr>
          <w:p w14:paraId="655BE07C" w14:textId="77777777" w:rsidR="00031BF6" w:rsidRPr="00C24B0A" w:rsidRDefault="00031BF6" w:rsidP="002A11D7">
            <w:pPr>
              <w:spacing w:before="40" w:after="40" w:line="240" w:lineRule="auto"/>
              <w:jc w:val="right"/>
              <w:rPr>
                <w:sz w:val="18"/>
                <w:szCs w:val="18"/>
              </w:rPr>
            </w:pPr>
            <w:r>
              <w:rPr>
                <w:sz w:val="18"/>
                <w:szCs w:val="18"/>
              </w:rPr>
              <w:t>75 %</w:t>
            </w:r>
          </w:p>
        </w:tc>
      </w:tr>
      <w:tr w:rsidR="00031BF6" w:rsidRPr="000341CC" w14:paraId="52A63EB8" w14:textId="77777777" w:rsidTr="00031BF6">
        <w:trPr>
          <w:trHeight w:val="397"/>
        </w:trPr>
        <w:tc>
          <w:tcPr>
            <w:tcW w:w="1117" w:type="pct"/>
            <w:tcMar>
              <w:top w:w="0" w:type="dxa"/>
              <w:left w:w="108" w:type="dxa"/>
              <w:bottom w:w="0" w:type="dxa"/>
              <w:right w:w="108" w:type="dxa"/>
            </w:tcMar>
            <w:vAlign w:val="center"/>
          </w:tcPr>
          <w:p w14:paraId="29EC4694" w14:textId="77777777" w:rsidR="00031BF6" w:rsidRPr="000341CC" w:rsidRDefault="00031BF6" w:rsidP="002A11D7">
            <w:pPr>
              <w:spacing w:before="40" w:after="40" w:line="240" w:lineRule="auto"/>
              <w:rPr>
                <w:sz w:val="18"/>
                <w:szCs w:val="18"/>
                <w:lang w:val="en-US"/>
              </w:rPr>
            </w:pPr>
            <w:r w:rsidRPr="000341CC">
              <w:rPr>
                <w:sz w:val="18"/>
                <w:szCs w:val="18"/>
                <w:lang w:val="en-US"/>
              </w:rPr>
              <w:t>High School Musical (med M&amp;T)</w:t>
            </w:r>
          </w:p>
        </w:tc>
        <w:tc>
          <w:tcPr>
            <w:tcW w:w="777" w:type="pct"/>
            <w:vAlign w:val="center"/>
          </w:tcPr>
          <w:p w14:paraId="685C5D67" w14:textId="77777777" w:rsidR="00031BF6" w:rsidRPr="000341CC" w:rsidRDefault="00031BF6" w:rsidP="002A11D7">
            <w:pPr>
              <w:spacing w:before="40" w:after="40" w:line="240" w:lineRule="auto"/>
              <w:ind w:right="145"/>
              <w:jc w:val="right"/>
              <w:rPr>
                <w:sz w:val="18"/>
                <w:szCs w:val="18"/>
                <w:lang w:val="en-US"/>
              </w:rPr>
            </w:pPr>
            <w:r>
              <w:rPr>
                <w:sz w:val="18"/>
                <w:szCs w:val="18"/>
                <w:lang w:val="en-US"/>
              </w:rPr>
              <w:t>2</w:t>
            </w:r>
          </w:p>
        </w:tc>
        <w:tc>
          <w:tcPr>
            <w:tcW w:w="777" w:type="pct"/>
            <w:tcMar>
              <w:top w:w="0" w:type="dxa"/>
              <w:left w:w="108" w:type="dxa"/>
              <w:bottom w:w="0" w:type="dxa"/>
              <w:right w:w="108" w:type="dxa"/>
            </w:tcMar>
            <w:vAlign w:val="center"/>
          </w:tcPr>
          <w:p w14:paraId="3A7816C1" w14:textId="77777777" w:rsidR="00031BF6" w:rsidRPr="000341CC" w:rsidRDefault="00031BF6" w:rsidP="002A11D7">
            <w:pPr>
              <w:spacing w:before="40" w:after="40" w:line="240" w:lineRule="auto"/>
              <w:jc w:val="right"/>
              <w:rPr>
                <w:sz w:val="18"/>
                <w:szCs w:val="18"/>
                <w:lang w:val="en-US"/>
              </w:rPr>
            </w:pPr>
            <w:r>
              <w:rPr>
                <w:sz w:val="18"/>
                <w:szCs w:val="18"/>
                <w:lang w:val="en-US"/>
              </w:rPr>
              <w:t>0</w:t>
            </w:r>
          </w:p>
        </w:tc>
        <w:tc>
          <w:tcPr>
            <w:tcW w:w="777" w:type="pct"/>
            <w:tcMar>
              <w:top w:w="0" w:type="dxa"/>
              <w:left w:w="108" w:type="dxa"/>
              <w:bottom w:w="0" w:type="dxa"/>
              <w:right w:w="108" w:type="dxa"/>
            </w:tcMar>
            <w:vAlign w:val="center"/>
          </w:tcPr>
          <w:p w14:paraId="2C0DB7E4" w14:textId="77777777" w:rsidR="00031BF6" w:rsidRPr="000341CC" w:rsidRDefault="00031BF6" w:rsidP="002A11D7">
            <w:pPr>
              <w:spacing w:before="40" w:after="40" w:line="240" w:lineRule="auto"/>
              <w:jc w:val="right"/>
              <w:rPr>
                <w:sz w:val="18"/>
                <w:szCs w:val="18"/>
                <w:lang w:val="en-US"/>
              </w:rPr>
            </w:pPr>
            <w:r>
              <w:rPr>
                <w:sz w:val="18"/>
                <w:szCs w:val="18"/>
                <w:lang w:val="en-US"/>
              </w:rPr>
              <w:t>1.500</w:t>
            </w:r>
          </w:p>
        </w:tc>
        <w:tc>
          <w:tcPr>
            <w:tcW w:w="777" w:type="pct"/>
            <w:tcMar>
              <w:top w:w="0" w:type="dxa"/>
              <w:left w:w="108" w:type="dxa"/>
              <w:bottom w:w="0" w:type="dxa"/>
              <w:right w:w="108" w:type="dxa"/>
            </w:tcMar>
            <w:vAlign w:val="center"/>
          </w:tcPr>
          <w:p w14:paraId="25546E23" w14:textId="77777777" w:rsidR="00031BF6" w:rsidRPr="000341CC" w:rsidRDefault="00031BF6" w:rsidP="002A11D7">
            <w:pPr>
              <w:spacing w:before="40" w:after="40" w:line="240" w:lineRule="auto"/>
              <w:jc w:val="right"/>
              <w:rPr>
                <w:sz w:val="18"/>
                <w:szCs w:val="18"/>
                <w:lang w:val="en-US"/>
              </w:rPr>
            </w:pPr>
            <w:r>
              <w:rPr>
                <w:sz w:val="18"/>
                <w:szCs w:val="18"/>
                <w:lang w:val="en-US"/>
              </w:rPr>
              <w:t>2.400</w:t>
            </w:r>
          </w:p>
        </w:tc>
        <w:tc>
          <w:tcPr>
            <w:tcW w:w="777" w:type="pct"/>
            <w:tcMar>
              <w:top w:w="0" w:type="dxa"/>
              <w:left w:w="108" w:type="dxa"/>
              <w:bottom w:w="0" w:type="dxa"/>
              <w:right w:w="108" w:type="dxa"/>
            </w:tcMar>
            <w:vAlign w:val="center"/>
          </w:tcPr>
          <w:p w14:paraId="3311F30E" w14:textId="77777777" w:rsidR="00031BF6" w:rsidRPr="000341CC" w:rsidRDefault="00031BF6" w:rsidP="002A11D7">
            <w:pPr>
              <w:spacing w:before="40" w:after="40" w:line="240" w:lineRule="auto"/>
              <w:jc w:val="right"/>
              <w:rPr>
                <w:sz w:val="18"/>
                <w:szCs w:val="18"/>
                <w:lang w:val="en-US"/>
              </w:rPr>
            </w:pPr>
            <w:r>
              <w:rPr>
                <w:sz w:val="18"/>
                <w:szCs w:val="18"/>
                <w:lang w:val="en-US"/>
              </w:rPr>
              <w:t>63 %</w:t>
            </w:r>
          </w:p>
        </w:tc>
      </w:tr>
      <w:tr w:rsidR="00031BF6" w:rsidRPr="000341CC" w14:paraId="0B24B5D2" w14:textId="77777777" w:rsidTr="00031BF6">
        <w:trPr>
          <w:trHeight w:val="397"/>
        </w:trPr>
        <w:tc>
          <w:tcPr>
            <w:tcW w:w="1117" w:type="pct"/>
            <w:tcMar>
              <w:top w:w="0" w:type="dxa"/>
              <w:left w:w="108" w:type="dxa"/>
              <w:bottom w:w="0" w:type="dxa"/>
              <w:right w:w="108" w:type="dxa"/>
            </w:tcMar>
            <w:vAlign w:val="center"/>
          </w:tcPr>
          <w:p w14:paraId="4EC1027E" w14:textId="77777777" w:rsidR="00031BF6" w:rsidRPr="000341CC" w:rsidRDefault="00031BF6" w:rsidP="002A11D7">
            <w:pPr>
              <w:spacing w:before="40" w:after="40" w:line="240" w:lineRule="auto"/>
              <w:rPr>
                <w:sz w:val="18"/>
                <w:szCs w:val="18"/>
              </w:rPr>
            </w:pPr>
            <w:r w:rsidRPr="000341CC">
              <w:rPr>
                <w:sz w:val="18"/>
                <w:szCs w:val="18"/>
              </w:rPr>
              <w:t>Hal Bal (med Teater O)</w:t>
            </w:r>
          </w:p>
        </w:tc>
        <w:tc>
          <w:tcPr>
            <w:tcW w:w="777" w:type="pct"/>
            <w:vAlign w:val="center"/>
          </w:tcPr>
          <w:p w14:paraId="5D8979F5" w14:textId="77777777" w:rsidR="00031BF6" w:rsidRPr="000341CC" w:rsidRDefault="00031BF6" w:rsidP="002A11D7">
            <w:pPr>
              <w:spacing w:before="40" w:after="40" w:line="240" w:lineRule="auto"/>
              <w:ind w:right="145"/>
              <w:jc w:val="right"/>
              <w:rPr>
                <w:sz w:val="18"/>
                <w:szCs w:val="18"/>
              </w:rPr>
            </w:pPr>
            <w:r>
              <w:rPr>
                <w:sz w:val="18"/>
                <w:szCs w:val="18"/>
              </w:rPr>
              <w:t>12</w:t>
            </w:r>
          </w:p>
        </w:tc>
        <w:tc>
          <w:tcPr>
            <w:tcW w:w="777" w:type="pct"/>
            <w:tcMar>
              <w:top w:w="0" w:type="dxa"/>
              <w:left w:w="108" w:type="dxa"/>
              <w:bottom w:w="0" w:type="dxa"/>
              <w:right w:w="108" w:type="dxa"/>
            </w:tcMar>
            <w:vAlign w:val="center"/>
          </w:tcPr>
          <w:p w14:paraId="7E189234" w14:textId="77777777" w:rsidR="00031BF6" w:rsidRPr="000341CC" w:rsidRDefault="00031BF6" w:rsidP="002A11D7">
            <w:pPr>
              <w:spacing w:before="40" w:after="40" w:line="240" w:lineRule="auto"/>
              <w:jc w:val="right"/>
              <w:rPr>
                <w:sz w:val="18"/>
                <w:szCs w:val="18"/>
              </w:rPr>
            </w:pPr>
            <w:r>
              <w:rPr>
                <w:sz w:val="18"/>
                <w:szCs w:val="18"/>
              </w:rPr>
              <w:t>0</w:t>
            </w:r>
          </w:p>
        </w:tc>
        <w:tc>
          <w:tcPr>
            <w:tcW w:w="777" w:type="pct"/>
            <w:tcMar>
              <w:top w:w="0" w:type="dxa"/>
              <w:left w:w="108" w:type="dxa"/>
              <w:bottom w:w="0" w:type="dxa"/>
              <w:right w:w="108" w:type="dxa"/>
            </w:tcMar>
            <w:vAlign w:val="center"/>
          </w:tcPr>
          <w:p w14:paraId="0FADCBCE" w14:textId="77777777" w:rsidR="00031BF6" w:rsidRPr="000341CC" w:rsidRDefault="00031BF6" w:rsidP="002A11D7">
            <w:pPr>
              <w:spacing w:before="40" w:after="40" w:line="240" w:lineRule="auto"/>
              <w:jc w:val="right"/>
              <w:rPr>
                <w:sz w:val="18"/>
                <w:szCs w:val="18"/>
              </w:rPr>
            </w:pPr>
            <w:r>
              <w:rPr>
                <w:sz w:val="18"/>
                <w:szCs w:val="18"/>
              </w:rPr>
              <w:t>1.000</w:t>
            </w:r>
          </w:p>
        </w:tc>
        <w:tc>
          <w:tcPr>
            <w:tcW w:w="777" w:type="pct"/>
            <w:tcMar>
              <w:top w:w="0" w:type="dxa"/>
              <w:left w:w="108" w:type="dxa"/>
              <w:bottom w:w="0" w:type="dxa"/>
              <w:right w:w="108" w:type="dxa"/>
            </w:tcMar>
            <w:vAlign w:val="center"/>
          </w:tcPr>
          <w:p w14:paraId="19705B81" w14:textId="77777777" w:rsidR="00031BF6" w:rsidRPr="000341CC" w:rsidRDefault="00031BF6" w:rsidP="002A11D7">
            <w:pPr>
              <w:spacing w:before="40" w:after="40" w:line="240" w:lineRule="auto"/>
              <w:jc w:val="right"/>
              <w:rPr>
                <w:sz w:val="18"/>
                <w:szCs w:val="18"/>
              </w:rPr>
            </w:pPr>
            <w:r>
              <w:rPr>
                <w:sz w:val="18"/>
                <w:szCs w:val="18"/>
              </w:rPr>
              <w:t>1.200</w:t>
            </w:r>
          </w:p>
        </w:tc>
        <w:tc>
          <w:tcPr>
            <w:tcW w:w="777" w:type="pct"/>
            <w:tcMar>
              <w:top w:w="0" w:type="dxa"/>
              <w:left w:w="108" w:type="dxa"/>
              <w:bottom w:w="0" w:type="dxa"/>
              <w:right w:w="108" w:type="dxa"/>
            </w:tcMar>
            <w:vAlign w:val="center"/>
          </w:tcPr>
          <w:p w14:paraId="06732A26" w14:textId="77777777" w:rsidR="00031BF6" w:rsidRPr="000341CC" w:rsidRDefault="00031BF6" w:rsidP="002A11D7">
            <w:pPr>
              <w:spacing w:before="40" w:after="40" w:line="240" w:lineRule="auto"/>
              <w:jc w:val="right"/>
              <w:rPr>
                <w:sz w:val="18"/>
                <w:szCs w:val="18"/>
              </w:rPr>
            </w:pPr>
            <w:r>
              <w:rPr>
                <w:sz w:val="18"/>
                <w:szCs w:val="18"/>
              </w:rPr>
              <w:t>83 %</w:t>
            </w:r>
          </w:p>
        </w:tc>
      </w:tr>
      <w:tr w:rsidR="00031BF6" w:rsidRPr="000341CC" w14:paraId="165133D8" w14:textId="77777777" w:rsidTr="00031BF6">
        <w:trPr>
          <w:trHeight w:val="397"/>
        </w:trPr>
        <w:tc>
          <w:tcPr>
            <w:tcW w:w="1117" w:type="pct"/>
            <w:tcMar>
              <w:top w:w="0" w:type="dxa"/>
              <w:left w:w="108" w:type="dxa"/>
              <w:bottom w:w="0" w:type="dxa"/>
              <w:right w:w="108" w:type="dxa"/>
            </w:tcMar>
            <w:vAlign w:val="center"/>
          </w:tcPr>
          <w:p w14:paraId="1A5FEDBE" w14:textId="77777777" w:rsidR="00031BF6" w:rsidRPr="000341CC" w:rsidRDefault="00031BF6" w:rsidP="002A11D7">
            <w:pPr>
              <w:spacing w:before="40" w:after="40" w:line="240" w:lineRule="auto"/>
              <w:rPr>
                <w:sz w:val="18"/>
                <w:szCs w:val="18"/>
              </w:rPr>
            </w:pPr>
            <w:r>
              <w:rPr>
                <w:sz w:val="18"/>
                <w:szCs w:val="18"/>
              </w:rPr>
              <w:t>Pippi Langstrømpe (med MCH, Herning)</w:t>
            </w:r>
          </w:p>
        </w:tc>
        <w:tc>
          <w:tcPr>
            <w:tcW w:w="777" w:type="pct"/>
            <w:vAlign w:val="center"/>
          </w:tcPr>
          <w:p w14:paraId="6D304B31" w14:textId="77777777" w:rsidR="00031BF6" w:rsidRPr="000341CC" w:rsidRDefault="00031BF6" w:rsidP="002A11D7">
            <w:pPr>
              <w:spacing w:before="40" w:after="40" w:line="240" w:lineRule="auto"/>
              <w:ind w:right="145"/>
              <w:jc w:val="right"/>
              <w:rPr>
                <w:sz w:val="18"/>
                <w:szCs w:val="18"/>
              </w:rPr>
            </w:pPr>
            <w:r>
              <w:rPr>
                <w:sz w:val="18"/>
                <w:szCs w:val="18"/>
              </w:rPr>
              <w:t>6</w:t>
            </w:r>
          </w:p>
        </w:tc>
        <w:tc>
          <w:tcPr>
            <w:tcW w:w="777" w:type="pct"/>
            <w:tcMar>
              <w:top w:w="0" w:type="dxa"/>
              <w:left w:w="108" w:type="dxa"/>
              <w:bottom w:w="0" w:type="dxa"/>
              <w:right w:w="108" w:type="dxa"/>
            </w:tcMar>
            <w:vAlign w:val="center"/>
          </w:tcPr>
          <w:p w14:paraId="70C18757" w14:textId="77777777" w:rsidR="00031BF6" w:rsidRPr="000341CC" w:rsidRDefault="00031BF6" w:rsidP="002A11D7">
            <w:pPr>
              <w:spacing w:before="40" w:after="40" w:line="240" w:lineRule="auto"/>
              <w:jc w:val="right"/>
              <w:rPr>
                <w:sz w:val="18"/>
                <w:szCs w:val="18"/>
              </w:rPr>
            </w:pPr>
            <w:r>
              <w:rPr>
                <w:sz w:val="18"/>
                <w:szCs w:val="18"/>
              </w:rPr>
              <w:t>0</w:t>
            </w:r>
          </w:p>
        </w:tc>
        <w:tc>
          <w:tcPr>
            <w:tcW w:w="777" w:type="pct"/>
            <w:tcMar>
              <w:top w:w="0" w:type="dxa"/>
              <w:left w:w="108" w:type="dxa"/>
              <w:bottom w:w="0" w:type="dxa"/>
              <w:right w:w="108" w:type="dxa"/>
            </w:tcMar>
            <w:vAlign w:val="center"/>
          </w:tcPr>
          <w:p w14:paraId="4B720E37" w14:textId="77777777" w:rsidR="00031BF6" w:rsidRPr="000341CC" w:rsidRDefault="00031BF6" w:rsidP="002A11D7">
            <w:pPr>
              <w:spacing w:before="40" w:after="40" w:line="240" w:lineRule="auto"/>
              <w:jc w:val="right"/>
              <w:rPr>
                <w:sz w:val="18"/>
                <w:szCs w:val="18"/>
              </w:rPr>
            </w:pPr>
            <w:r>
              <w:rPr>
                <w:sz w:val="18"/>
                <w:szCs w:val="18"/>
              </w:rPr>
              <w:t>3.200</w:t>
            </w:r>
          </w:p>
        </w:tc>
        <w:tc>
          <w:tcPr>
            <w:tcW w:w="777" w:type="pct"/>
            <w:tcMar>
              <w:top w:w="0" w:type="dxa"/>
              <w:left w:w="108" w:type="dxa"/>
              <w:bottom w:w="0" w:type="dxa"/>
              <w:right w:w="108" w:type="dxa"/>
            </w:tcMar>
            <w:vAlign w:val="center"/>
          </w:tcPr>
          <w:p w14:paraId="71982653" w14:textId="77777777" w:rsidR="00031BF6" w:rsidRPr="000341CC" w:rsidRDefault="00031BF6" w:rsidP="002A11D7">
            <w:pPr>
              <w:spacing w:before="40" w:after="40" w:line="240" w:lineRule="auto"/>
              <w:jc w:val="right"/>
              <w:rPr>
                <w:sz w:val="18"/>
                <w:szCs w:val="18"/>
              </w:rPr>
            </w:pPr>
            <w:r>
              <w:rPr>
                <w:sz w:val="18"/>
                <w:szCs w:val="18"/>
              </w:rPr>
              <w:t>4.800</w:t>
            </w:r>
          </w:p>
        </w:tc>
        <w:tc>
          <w:tcPr>
            <w:tcW w:w="777" w:type="pct"/>
            <w:tcMar>
              <w:top w:w="0" w:type="dxa"/>
              <w:left w:w="108" w:type="dxa"/>
              <w:bottom w:w="0" w:type="dxa"/>
              <w:right w:w="108" w:type="dxa"/>
            </w:tcMar>
            <w:vAlign w:val="center"/>
          </w:tcPr>
          <w:p w14:paraId="75032FE4" w14:textId="77777777" w:rsidR="00031BF6" w:rsidRPr="000341CC" w:rsidRDefault="00031BF6" w:rsidP="002A11D7">
            <w:pPr>
              <w:spacing w:before="40" w:after="40" w:line="240" w:lineRule="auto"/>
              <w:jc w:val="right"/>
              <w:rPr>
                <w:sz w:val="18"/>
                <w:szCs w:val="18"/>
              </w:rPr>
            </w:pPr>
            <w:r>
              <w:rPr>
                <w:sz w:val="18"/>
                <w:szCs w:val="18"/>
              </w:rPr>
              <w:t>67 %</w:t>
            </w:r>
          </w:p>
        </w:tc>
      </w:tr>
      <w:tr w:rsidR="00031BF6" w:rsidRPr="000341CC" w14:paraId="277F9ED3" w14:textId="77777777" w:rsidTr="00031BF6">
        <w:trPr>
          <w:trHeight w:val="397"/>
        </w:trPr>
        <w:tc>
          <w:tcPr>
            <w:tcW w:w="1117" w:type="pct"/>
            <w:tcMar>
              <w:top w:w="0" w:type="dxa"/>
              <w:left w:w="108" w:type="dxa"/>
              <w:bottom w:w="0" w:type="dxa"/>
              <w:right w:w="108" w:type="dxa"/>
            </w:tcMar>
            <w:vAlign w:val="center"/>
          </w:tcPr>
          <w:p w14:paraId="443E9C3E" w14:textId="77777777" w:rsidR="00031BF6" w:rsidRPr="000341CC" w:rsidRDefault="00031BF6" w:rsidP="002A11D7">
            <w:pPr>
              <w:spacing w:before="40" w:after="40" w:line="240" w:lineRule="auto"/>
              <w:rPr>
                <w:sz w:val="18"/>
                <w:szCs w:val="18"/>
              </w:rPr>
            </w:pPr>
            <w:r>
              <w:rPr>
                <w:sz w:val="18"/>
                <w:szCs w:val="18"/>
              </w:rPr>
              <w:t>100 Likes</w:t>
            </w:r>
          </w:p>
        </w:tc>
        <w:tc>
          <w:tcPr>
            <w:tcW w:w="777" w:type="pct"/>
            <w:vAlign w:val="center"/>
          </w:tcPr>
          <w:p w14:paraId="30FCC7E6" w14:textId="77777777" w:rsidR="00031BF6" w:rsidRPr="000341CC" w:rsidRDefault="00031BF6" w:rsidP="002A11D7">
            <w:pPr>
              <w:spacing w:before="40" w:after="40" w:line="240" w:lineRule="auto"/>
              <w:ind w:right="145"/>
              <w:jc w:val="right"/>
              <w:rPr>
                <w:sz w:val="18"/>
                <w:szCs w:val="18"/>
              </w:rPr>
            </w:pPr>
            <w:r>
              <w:rPr>
                <w:sz w:val="18"/>
                <w:szCs w:val="18"/>
              </w:rPr>
              <w:t>2</w:t>
            </w:r>
          </w:p>
        </w:tc>
        <w:tc>
          <w:tcPr>
            <w:tcW w:w="777" w:type="pct"/>
            <w:tcMar>
              <w:top w:w="0" w:type="dxa"/>
              <w:left w:w="108" w:type="dxa"/>
              <w:bottom w:w="0" w:type="dxa"/>
              <w:right w:w="108" w:type="dxa"/>
            </w:tcMar>
            <w:vAlign w:val="center"/>
          </w:tcPr>
          <w:p w14:paraId="6C8D8012" w14:textId="77777777" w:rsidR="00031BF6" w:rsidRPr="000341CC" w:rsidRDefault="00031BF6" w:rsidP="002A11D7">
            <w:pPr>
              <w:spacing w:before="40" w:after="40" w:line="240" w:lineRule="auto"/>
              <w:jc w:val="right"/>
              <w:rPr>
                <w:sz w:val="18"/>
                <w:szCs w:val="18"/>
              </w:rPr>
            </w:pPr>
            <w:r>
              <w:rPr>
                <w:sz w:val="18"/>
                <w:szCs w:val="18"/>
              </w:rPr>
              <w:t>0</w:t>
            </w:r>
          </w:p>
        </w:tc>
        <w:tc>
          <w:tcPr>
            <w:tcW w:w="777" w:type="pct"/>
            <w:tcMar>
              <w:top w:w="0" w:type="dxa"/>
              <w:left w:w="108" w:type="dxa"/>
              <w:bottom w:w="0" w:type="dxa"/>
              <w:right w:w="108" w:type="dxa"/>
            </w:tcMar>
            <w:vAlign w:val="center"/>
          </w:tcPr>
          <w:p w14:paraId="0B771141" w14:textId="77777777" w:rsidR="00031BF6" w:rsidRPr="000341CC" w:rsidRDefault="00031BF6" w:rsidP="002A11D7">
            <w:pPr>
              <w:spacing w:before="40" w:after="40" w:line="240" w:lineRule="auto"/>
              <w:jc w:val="right"/>
              <w:rPr>
                <w:sz w:val="18"/>
                <w:szCs w:val="18"/>
              </w:rPr>
            </w:pPr>
            <w:r>
              <w:rPr>
                <w:sz w:val="18"/>
                <w:szCs w:val="18"/>
              </w:rPr>
              <w:t>120</w:t>
            </w:r>
          </w:p>
        </w:tc>
        <w:tc>
          <w:tcPr>
            <w:tcW w:w="777" w:type="pct"/>
            <w:tcMar>
              <w:top w:w="0" w:type="dxa"/>
              <w:left w:w="108" w:type="dxa"/>
              <w:bottom w:w="0" w:type="dxa"/>
              <w:right w:w="108" w:type="dxa"/>
            </w:tcMar>
            <w:vAlign w:val="center"/>
          </w:tcPr>
          <w:p w14:paraId="71DD8E80" w14:textId="77777777" w:rsidR="00031BF6" w:rsidRPr="000341CC" w:rsidRDefault="00031BF6" w:rsidP="002A11D7">
            <w:pPr>
              <w:spacing w:before="40" w:after="40" w:line="240" w:lineRule="auto"/>
              <w:jc w:val="right"/>
              <w:rPr>
                <w:sz w:val="18"/>
                <w:szCs w:val="18"/>
              </w:rPr>
            </w:pPr>
            <w:r>
              <w:rPr>
                <w:sz w:val="18"/>
                <w:szCs w:val="18"/>
              </w:rPr>
              <w:t>120</w:t>
            </w:r>
          </w:p>
        </w:tc>
        <w:tc>
          <w:tcPr>
            <w:tcW w:w="777" w:type="pct"/>
            <w:tcMar>
              <w:top w:w="0" w:type="dxa"/>
              <w:left w:w="108" w:type="dxa"/>
              <w:bottom w:w="0" w:type="dxa"/>
              <w:right w:w="108" w:type="dxa"/>
            </w:tcMar>
            <w:vAlign w:val="center"/>
          </w:tcPr>
          <w:p w14:paraId="5BB0C4ED" w14:textId="77777777" w:rsidR="00031BF6" w:rsidRPr="000341CC" w:rsidRDefault="00031BF6" w:rsidP="002A11D7">
            <w:pPr>
              <w:spacing w:before="40" w:after="40" w:line="240" w:lineRule="auto"/>
              <w:jc w:val="right"/>
              <w:rPr>
                <w:sz w:val="18"/>
                <w:szCs w:val="18"/>
              </w:rPr>
            </w:pPr>
            <w:r>
              <w:rPr>
                <w:sz w:val="18"/>
                <w:szCs w:val="18"/>
              </w:rPr>
              <w:t>100 %</w:t>
            </w:r>
          </w:p>
        </w:tc>
      </w:tr>
    </w:tbl>
    <w:p w14:paraId="65FCDF9D" w14:textId="77777777" w:rsidR="00AE1F25" w:rsidRPr="000341CC" w:rsidRDefault="00AE1F25" w:rsidP="00AE1F25"/>
    <w:p w14:paraId="311B7782" w14:textId="77777777" w:rsidR="00617144" w:rsidRDefault="001B4C14" w:rsidP="00AC2558">
      <w:r>
        <w:t xml:space="preserve">I kraft af </w:t>
      </w:r>
      <w:r w:rsidR="00D34D53">
        <w:t>Black Box Theatre</w:t>
      </w:r>
      <w:r w:rsidR="00D22B95">
        <w:t>´</w:t>
      </w:r>
      <w:r>
        <w:t xml:space="preserve">s forretningsmodel </w:t>
      </w:r>
      <w:r w:rsidR="00A7272E">
        <w:t xml:space="preserve">er der ikke så mange ressourcer til at prioritere øvrige </w:t>
      </w:r>
      <w:r w:rsidR="0066335A">
        <w:t>scenekunstrelevante aktiviteter</w:t>
      </w:r>
      <w:r w:rsidR="00D34D53">
        <w:t xml:space="preserve">. </w:t>
      </w:r>
      <w:r w:rsidR="006576E2">
        <w:t>I</w:t>
      </w:r>
      <w:r w:rsidR="00D757DD">
        <w:t xml:space="preserve"> de </w:t>
      </w:r>
      <w:r w:rsidR="007C4330">
        <w:t>sids</w:t>
      </w:r>
      <w:r w:rsidR="00D757DD">
        <w:t xml:space="preserve">te par år </w:t>
      </w:r>
      <w:r w:rsidR="006576E2">
        <w:t>ha</w:t>
      </w:r>
      <w:r w:rsidR="00D757DD">
        <w:t>r teatret</w:t>
      </w:r>
      <w:r w:rsidR="006576E2">
        <w:t xml:space="preserve"> dog</w:t>
      </w:r>
      <w:r w:rsidR="009416B2">
        <w:t xml:space="preserve"> </w:t>
      </w:r>
      <w:r w:rsidR="00633813">
        <w:t xml:space="preserve">– via de to senest tilkomne delkompagnier - </w:t>
      </w:r>
      <w:r w:rsidR="009416B2">
        <w:t>prioriteret</w:t>
      </w:r>
      <w:r w:rsidR="006576E2">
        <w:t xml:space="preserve"> </w:t>
      </w:r>
      <w:r w:rsidR="00633813">
        <w:t xml:space="preserve">sådanne </w:t>
      </w:r>
      <w:r w:rsidR="00767B3C">
        <w:t xml:space="preserve">aktiviteter. </w:t>
      </w:r>
      <w:r w:rsidR="008B7E17">
        <w:t>Black Cox Dance Company</w:t>
      </w:r>
      <w:r w:rsidR="008B7E17" w:rsidRPr="00D34D53">
        <w:t xml:space="preserve"> </w:t>
      </w:r>
      <w:r w:rsidR="008B7E17">
        <w:t xml:space="preserve">har gået </w:t>
      </w:r>
      <w:r w:rsidR="008B7E17" w:rsidRPr="00D34D53">
        <w:t>aktiv</w:t>
      </w:r>
      <w:r w:rsidR="008B7E17">
        <w:t>t</w:t>
      </w:r>
      <w:r w:rsidR="008B7E17" w:rsidRPr="00D34D53">
        <w:t xml:space="preserve"> </w:t>
      </w:r>
      <w:r w:rsidR="008B7E17">
        <w:t>ud på</w:t>
      </w:r>
      <w:r w:rsidR="008B7E17" w:rsidRPr="00D34D53">
        <w:t xml:space="preserve"> </w:t>
      </w:r>
      <w:r w:rsidR="008B7E17">
        <w:t xml:space="preserve">lokale </w:t>
      </w:r>
      <w:r w:rsidR="008B7E17" w:rsidRPr="00D34D53">
        <w:t>virksomheder</w:t>
      </w:r>
      <w:r w:rsidR="008B7E17">
        <w:t xml:space="preserve"> med ”Frokostdan</w:t>
      </w:r>
      <w:r w:rsidR="007C4330">
        <w:t>s</w:t>
      </w:r>
      <w:r w:rsidR="008B7E17">
        <w:t>”,</w:t>
      </w:r>
      <w:r w:rsidR="007C4330">
        <w:t xml:space="preserve"> kompagniet samarbejder meget med Balletskolen og </w:t>
      </w:r>
      <w:r w:rsidR="007C4330" w:rsidRPr="00D34D53">
        <w:t>Dansk Talentakademi</w:t>
      </w:r>
      <w:r w:rsidR="007C4330">
        <w:t>,</w:t>
      </w:r>
      <w:r w:rsidR="008B7E17">
        <w:t xml:space="preserve"> </w:t>
      </w:r>
      <w:r w:rsidR="007C4330">
        <w:t xml:space="preserve">hvor man </w:t>
      </w:r>
      <w:proofErr w:type="spellStart"/>
      <w:r w:rsidR="007C4330">
        <w:t>bla</w:t>
      </w:r>
      <w:proofErr w:type="spellEnd"/>
      <w:r w:rsidR="007C4330">
        <w:t xml:space="preserve">. </w:t>
      </w:r>
      <w:r w:rsidR="008B7E17">
        <w:t>udb</w:t>
      </w:r>
      <w:r w:rsidR="007C4330">
        <w:t>yder</w:t>
      </w:r>
      <w:r w:rsidR="008B7E17">
        <w:t xml:space="preserve"> master </w:t>
      </w:r>
      <w:proofErr w:type="spellStart"/>
      <w:r w:rsidR="008B7E17">
        <w:t>classes</w:t>
      </w:r>
      <w:proofErr w:type="spellEnd"/>
      <w:r w:rsidR="008B7E17">
        <w:t xml:space="preserve">, </w:t>
      </w:r>
      <w:r w:rsidR="008B7E17" w:rsidRPr="00D34D53">
        <w:t xml:space="preserve">når </w:t>
      </w:r>
      <w:r w:rsidR="008B7E17">
        <w:t>der e</w:t>
      </w:r>
      <w:r w:rsidR="008B7E17" w:rsidRPr="00D34D53">
        <w:t>r</w:t>
      </w:r>
      <w:r w:rsidR="008B7E17">
        <w:t xml:space="preserve"> relevante</w:t>
      </w:r>
      <w:r w:rsidR="008B7E17" w:rsidRPr="00D34D53">
        <w:t xml:space="preserve"> skuespillere i huset.</w:t>
      </w:r>
      <w:r w:rsidR="008B7E17">
        <w:t xml:space="preserve"> </w:t>
      </w:r>
      <w:r w:rsidR="00767B3C" w:rsidRPr="00ED524E">
        <w:t>I</w:t>
      </w:r>
      <w:r w:rsidR="00D757DD" w:rsidRPr="00ED524E">
        <w:t xml:space="preserve"> </w:t>
      </w:r>
      <w:r w:rsidR="005E5472" w:rsidRPr="00ED524E">
        <w:t xml:space="preserve">et tværgående </w:t>
      </w:r>
      <w:r w:rsidR="00D757DD" w:rsidRPr="00ED524E">
        <w:t>samarbejde me</w:t>
      </w:r>
      <w:r w:rsidR="005E5472" w:rsidRPr="00ED524E">
        <w:t>llem</w:t>
      </w:r>
      <w:r w:rsidR="00D757DD" w:rsidRPr="00ED524E">
        <w:t xml:space="preserve"> Teater O og </w:t>
      </w:r>
      <w:r w:rsidR="00A9000C" w:rsidRPr="00ED524E">
        <w:t xml:space="preserve">en gruppe </w:t>
      </w:r>
      <w:r w:rsidR="00D757DD" w:rsidRPr="00ED524E">
        <w:t xml:space="preserve">folkeskolelærere </w:t>
      </w:r>
      <w:r w:rsidR="00ED524E">
        <w:t xml:space="preserve">(i Holstebro og Aarhus) </w:t>
      </w:r>
      <w:r w:rsidR="0086142C" w:rsidRPr="00ED524E">
        <w:t xml:space="preserve">er der </w:t>
      </w:r>
      <w:r w:rsidR="007C4330" w:rsidRPr="00ED524E">
        <w:t xml:space="preserve">endvidere </w:t>
      </w:r>
      <w:r w:rsidR="00D757DD" w:rsidRPr="00ED524E">
        <w:t>udvikle</w:t>
      </w:r>
      <w:r w:rsidR="0086142C" w:rsidRPr="00ED524E">
        <w:t>t</w:t>
      </w:r>
      <w:r w:rsidR="00C93B39" w:rsidRPr="00ED524E">
        <w:t xml:space="preserve"> forskelligt </w:t>
      </w:r>
      <w:r w:rsidR="00D757DD" w:rsidRPr="00ED524E">
        <w:t xml:space="preserve">undervisningsmateriale </w:t>
      </w:r>
      <w:r w:rsidR="00C93B39" w:rsidRPr="00ED524E">
        <w:t>til brug for</w:t>
      </w:r>
      <w:r w:rsidR="00D757DD" w:rsidRPr="00ED524E">
        <w:t xml:space="preserve"> skolerne i forbindelse med forestillinger</w:t>
      </w:r>
      <w:r w:rsidR="00C93B39" w:rsidRPr="00ED524E">
        <w:t>ne</w:t>
      </w:r>
      <w:r w:rsidR="001A5992" w:rsidRPr="00ED524E">
        <w:t>.</w:t>
      </w:r>
      <w:r w:rsidR="001A5992">
        <w:t xml:space="preserve"> </w:t>
      </w:r>
    </w:p>
    <w:p w14:paraId="05C4782B" w14:textId="77777777" w:rsidR="000F670D" w:rsidRPr="006C3F72" w:rsidRDefault="00743DFF" w:rsidP="006C3F72">
      <w:pPr>
        <w:pStyle w:val="Overskrift2"/>
      </w:pPr>
      <w:bookmarkStart w:id="8" w:name="_Toc484674625"/>
      <w:r w:rsidRPr="006C3F72">
        <w:t>Fo</w:t>
      </w:r>
      <w:r w:rsidR="005037A6" w:rsidRPr="006C3F72">
        <w:t>restillinger</w:t>
      </w:r>
      <w:bookmarkEnd w:id="8"/>
      <w:r w:rsidR="005037A6" w:rsidRPr="006C3F72">
        <w:t xml:space="preserve"> </w:t>
      </w:r>
    </w:p>
    <w:p w14:paraId="5D42B71A" w14:textId="77777777" w:rsidR="00DF0FD8" w:rsidRPr="00DF0FD8" w:rsidRDefault="00D84E58" w:rsidP="00DF0FD8">
      <w:r>
        <w:t xml:space="preserve">Evaluator har haft mulighed for </w:t>
      </w:r>
      <w:r w:rsidR="00AE4926">
        <w:t xml:space="preserve">at se </w:t>
      </w:r>
      <w:r w:rsidR="00206EEB">
        <w:t xml:space="preserve">de tre egenproduktioner </w:t>
      </w:r>
      <w:r w:rsidR="00206EEB" w:rsidRPr="00206EEB">
        <w:rPr>
          <w:iCs/>
        </w:rPr>
        <w:t>fra Black Box Dance Company</w:t>
      </w:r>
      <w:r w:rsidR="00206EEB">
        <w:rPr>
          <w:iCs/>
        </w:rPr>
        <w:t>:</w:t>
      </w:r>
      <w:r w:rsidR="00206EEB" w:rsidRPr="00206EEB">
        <w:rPr>
          <w:iCs/>
        </w:rPr>
        <w:t xml:space="preserve"> 7even, 100 Likes og Carmina </w:t>
      </w:r>
      <w:proofErr w:type="spellStart"/>
      <w:r w:rsidR="00206EEB" w:rsidRPr="00206EEB">
        <w:rPr>
          <w:iCs/>
        </w:rPr>
        <w:t>Burana</w:t>
      </w:r>
      <w:proofErr w:type="spellEnd"/>
      <w:r w:rsidR="0096615D">
        <w:rPr>
          <w:iCs/>
        </w:rPr>
        <w:t>, hvor førstnævnte vil være genstand for nærmere analyse i det følgende</w:t>
      </w:r>
      <w:r w:rsidR="00206EEB">
        <w:rPr>
          <w:iCs/>
        </w:rPr>
        <w:t>.</w:t>
      </w:r>
      <w:r w:rsidR="003431F3">
        <w:t xml:space="preserve"> </w:t>
      </w:r>
      <w:r w:rsidR="00DF0FD8" w:rsidRPr="00DF0FD8">
        <w:t>7even blev set af evaluator d. 25</w:t>
      </w:r>
      <w:r w:rsidR="00206EEB">
        <w:t>.</w:t>
      </w:r>
      <w:r w:rsidR="00DF0FD8" w:rsidRPr="00DF0FD8">
        <w:t>1</w:t>
      </w:r>
      <w:r w:rsidR="00206EEB">
        <w:t>.</w:t>
      </w:r>
      <w:r w:rsidR="00DF0FD8" w:rsidRPr="00DF0FD8">
        <w:t xml:space="preserve"> 2017 på åbne scene på Godsbanen i Aarhus</w:t>
      </w:r>
      <w:r w:rsidR="006350D2">
        <w:t xml:space="preserve"> og d. </w:t>
      </w:r>
      <w:proofErr w:type="spellStart"/>
      <w:r w:rsidR="006350D2">
        <w:t>x.y</w:t>
      </w:r>
      <w:proofErr w:type="spellEnd"/>
      <w:r w:rsidR="006350D2">
        <w:t>. i Undergrunden, Værløse</w:t>
      </w:r>
      <w:r w:rsidR="00DF0FD8" w:rsidRPr="00DF0FD8">
        <w:t xml:space="preserve">. </w:t>
      </w:r>
      <w:r w:rsidR="00206EEB">
        <w:t xml:space="preserve">Den </w:t>
      </w:r>
      <w:r w:rsidR="00DF0FD8" w:rsidRPr="00DF0FD8">
        <w:t xml:space="preserve">er koreograferet af Fotis Nikolaou og iscenesat med 7 af kompagniets dansere under ledelse Marie Brolin-Tani. </w:t>
      </w:r>
    </w:p>
    <w:p w14:paraId="63774419" w14:textId="77777777" w:rsidR="00DF0FD8" w:rsidRPr="00DF0FD8" w:rsidRDefault="00DF0FD8" w:rsidP="00DF0FD8"/>
    <w:p w14:paraId="717C633F" w14:textId="77777777" w:rsidR="00DF0FD8" w:rsidRPr="00DF0FD8" w:rsidRDefault="00DF0FD8" w:rsidP="00DF0FD8">
      <w:r w:rsidRPr="00DF0FD8">
        <w:t xml:space="preserve">7even er en moderne fortolkning af de syv dødssynder, der sætter fokus på dødssyndernes aktuelle nuancer i det moderne samfund. Udover et ekstremt velkoreograferet og sammenspillet kompagni, forstærker syv udtryksfulde masker de forskellige dødssynder og deres tema og budskab. Forestillingen, der også har modtaget en </w:t>
      </w:r>
      <w:proofErr w:type="spellStart"/>
      <w:r w:rsidRPr="00DF0FD8">
        <w:t>reumert</w:t>
      </w:r>
      <w:proofErr w:type="spellEnd"/>
      <w:r w:rsidRPr="00DF0FD8">
        <w:t xml:space="preserve">-nominering for årets danseforestilling, er en gennemført, smuk og rørende forestilling, hvor nykomponeret musik af Christian Tronhjem, instruktion og teknisk dygtige danserne tilsammen går op i en højere enhed. </w:t>
      </w:r>
    </w:p>
    <w:p w14:paraId="4BF864DE" w14:textId="77777777" w:rsidR="00DF0FD8" w:rsidRPr="00DF0FD8" w:rsidRDefault="00DF0FD8" w:rsidP="00DF0FD8"/>
    <w:p w14:paraId="13427197" w14:textId="77777777" w:rsidR="00DF0FD8" w:rsidRPr="00DF0FD8" w:rsidRDefault="00DF0FD8" w:rsidP="00DF0FD8">
      <w:r w:rsidRPr="00DF0FD8">
        <w:t xml:space="preserve">Forestillingen, formår at fange fra start, og taler i sit stærke visuelle udtryk, med smukke kostumer og kubistisk inspirerede masker til et bredt publikum. Det er gennemgående for 7even, at de syv hoveddele(dødssynderne) i stykket, fremstår gennemarbejdet, og fremkalder stærke associationer og reaktioner hos publikum. Forestillingen åbner med et billede af to elskende og afspejler det spil, der opstår i kærligheden mellem de to parter, dette indeholder både, begær, hengivenhed, had og </w:t>
      </w:r>
      <w:proofErr w:type="spellStart"/>
      <w:r w:rsidRPr="00DF0FD8">
        <w:t>frastødelse</w:t>
      </w:r>
      <w:proofErr w:type="spellEnd"/>
      <w:r w:rsidRPr="00DF0FD8">
        <w:t xml:space="preserve"> - alt sammen i et tydeligt fysisk sprog, for til sidst at lade gulvet blive rødt, som symbol på, at man nu dykker ned i menneskets både farlige og passionerede inderste.</w:t>
      </w:r>
    </w:p>
    <w:p w14:paraId="770C78A2" w14:textId="77777777" w:rsidR="00DF0FD8" w:rsidRPr="00DF0FD8" w:rsidRDefault="00DF0FD8" w:rsidP="00DF0FD8"/>
    <w:p w14:paraId="347CC355" w14:textId="77777777" w:rsidR="00DF0FD8" w:rsidRPr="00DF0FD8" w:rsidRDefault="00DF0FD8" w:rsidP="00DF0FD8">
      <w:r w:rsidRPr="00DF0FD8">
        <w:t>De syv hoveddele af stykket fortsætter i en velsammensat og kunstnerisk stærk stil, og fungerer hver især som individuelle kunstinstallationer, men også som stærke billeder i forlængelse af hinanden, og den røde tråd er klar gennem stort set hele stykket. Slutbilledet indeholder alle syv dansere og er samtidig første scene med replikker. Det er forløsende, at se alle masker, dansere og dødssynder sammen, men scenen falder lidt ved siden af et ellers stramt komponeret værk.</w:t>
      </w:r>
      <w:r w:rsidRPr="00DF0FD8" w:rsidDel="006579D3">
        <w:t xml:space="preserve"> </w:t>
      </w:r>
      <w:r w:rsidRPr="00DF0FD8">
        <w:t xml:space="preserve"> </w:t>
      </w:r>
    </w:p>
    <w:p w14:paraId="315E5DAF" w14:textId="77777777" w:rsidR="00DF0FD8" w:rsidRPr="00DF0FD8" w:rsidRDefault="00DF0FD8" w:rsidP="00DF0FD8"/>
    <w:p w14:paraId="0C3CD932" w14:textId="77777777" w:rsidR="00DF0FD8" w:rsidRPr="00DF0FD8" w:rsidRDefault="00DF0FD8" w:rsidP="00DF0FD8">
      <w:r w:rsidRPr="00DF0FD8">
        <w:t xml:space="preserve">Tolkningerne af de enkelte dødssynder har relativt forskellige udtryk. Eksempelvis tager vreden form i en passiv, aggressiv krigsherre, der stille skridt for skridt bevæger sig frem på scenen stadig mere dominerende uden selv at indgå i kamp, mens hans soldaterkæmper voldsomt og aggressivt med og mod hinanden. Billedet på hovmod derimod udtrykkes gennem langhårede parykker, der dækker de tre danseres ansigter i en ballet-inspireret sekvens og fremstår snarere som et poetisk, fabulerende udtryk.  De 7 dansere løfter generelt opgaven på højt niveau og leverer overbevisende dans både individuelt og sammen. Der kan enkelte steder spores forskellige tilgange til det mere skuespilorienterede aspekt, som BBT ellers ønsker at prioritere højt. Det er måske et resultat af, at dansetruppen består af flere dansere, der løbende tager forskellige roller igennem spilleperioden. </w:t>
      </w:r>
    </w:p>
    <w:p w14:paraId="156505BE" w14:textId="77777777" w:rsidR="00DF0FD8" w:rsidRPr="00DF0FD8" w:rsidRDefault="00DF0FD8" w:rsidP="00DF0FD8"/>
    <w:p w14:paraId="5F9A14CD" w14:textId="77777777" w:rsidR="005F7B34" w:rsidRDefault="00DF0FD8" w:rsidP="000F670D">
      <w:r w:rsidRPr="00DF0FD8">
        <w:t xml:space="preserve">Samlet set er forestillingen af høj kvalitet; den appellerer til et bredt publikum og bringer noget nyt til formatet ’danseforestilling’. Dette realiseres i kraft af forestillingens konkrete koncept, nærværende form og vellavede komposition. Og på trods af enkelte sekvensers let slørede budskab og formål, fungerer blandingen af maskearbejde, det stærkt fysiske og emotionelle udtryk og et moderne </w:t>
      </w:r>
      <w:proofErr w:type="spellStart"/>
      <w:r w:rsidRPr="00DF0FD8">
        <w:t>take</w:t>
      </w:r>
      <w:proofErr w:type="spellEnd"/>
      <w:r w:rsidRPr="00DF0FD8">
        <w:t xml:space="preserve"> på både musik og koreografisk komposition virkelig godt. Den kunstneriske stillingtagen er tydelig og forestillingen står stærkt som et fuldstændigt og samlet billede.</w:t>
      </w:r>
    </w:p>
    <w:p w14:paraId="351CE0F4" w14:textId="77777777" w:rsidR="000F670D" w:rsidRPr="006C3F72" w:rsidRDefault="000F670D" w:rsidP="006C3F72">
      <w:pPr>
        <w:pStyle w:val="Overskrift2"/>
      </w:pPr>
      <w:bookmarkStart w:id="9" w:name="_Toc484674626"/>
      <w:r w:rsidRPr="006C3F72">
        <w:t>Vurdering af den kunstneriske aktivitet</w:t>
      </w:r>
      <w:bookmarkEnd w:id="9"/>
    </w:p>
    <w:p w14:paraId="2FEEBA5F" w14:textId="77777777" w:rsidR="00EE796E" w:rsidRDefault="00666DF0" w:rsidP="009130D9">
      <w:r>
        <w:t xml:space="preserve">Det er evaluators vurdering, at </w:t>
      </w:r>
      <w:r w:rsidR="008432FC">
        <w:t xml:space="preserve">Black Box Theatre </w:t>
      </w:r>
      <w:r>
        <w:t>lever op til egnsteateraftalen og</w:t>
      </w:r>
      <w:r w:rsidR="00105F33">
        <w:t xml:space="preserve"> de kunstneriske mål</w:t>
      </w:r>
      <w:r>
        <w:t xml:space="preserve"> for aftaleperioden. </w:t>
      </w:r>
      <w:r w:rsidR="00EE796E">
        <w:t>Evaluator anbefaler, at Holstebro Kommune viderefører egnsteateraftalen med Black Box Theatre.</w:t>
      </w:r>
    </w:p>
    <w:p w14:paraId="74709E28" w14:textId="77777777" w:rsidR="00EE796E" w:rsidRDefault="00EE796E" w:rsidP="009130D9"/>
    <w:p w14:paraId="1F7067F5" w14:textId="77777777" w:rsidR="009130D9" w:rsidRDefault="00105F33" w:rsidP="009130D9">
      <w:r>
        <w:t>Teatret overperformer i forhold til</w:t>
      </w:r>
      <w:r w:rsidR="00546D90">
        <w:t xml:space="preserve"> krav</w:t>
      </w:r>
      <w:r w:rsidR="00D04E2F">
        <w:t xml:space="preserve"> om egenproduktioner, og </w:t>
      </w:r>
      <w:r w:rsidR="00FC64C4">
        <w:t xml:space="preserve">såvel aktivitetsniveau som </w:t>
      </w:r>
      <w:r w:rsidR="00D04E2F">
        <w:t>publikumstilslutningen både lokalt og på turneer er overbevisende.</w:t>
      </w:r>
      <w:r w:rsidR="00F25D4D">
        <w:t xml:space="preserve"> I den aktuelle aftaleperiode har teatret arbejdet med at </w:t>
      </w:r>
      <w:r w:rsidR="00A64D98">
        <w:t xml:space="preserve">professionalisere og </w:t>
      </w:r>
      <w:r w:rsidR="00F25D4D">
        <w:t>udvide den kunstneriske portefølje</w:t>
      </w:r>
      <w:r w:rsidR="00A64D98">
        <w:t>,</w:t>
      </w:r>
      <w:r w:rsidR="00F25D4D">
        <w:t xml:space="preserve"> så der nu udbydes teater for både børn, unge og voksn</w:t>
      </w:r>
      <w:r w:rsidR="003431F3">
        <w:t>e</w:t>
      </w:r>
      <w:r w:rsidR="00F25D4D">
        <w:t>.</w:t>
      </w:r>
      <w:r w:rsidR="009130D9">
        <w:t xml:space="preserve"> </w:t>
      </w:r>
      <w:r w:rsidR="00525BD4">
        <w:t xml:space="preserve">Black Box Theatre har i aftaleperioden modtaget to Reumert nomineringer for hhv. danseforestillingen 7even og </w:t>
      </w:r>
      <w:r w:rsidR="003431F3">
        <w:t xml:space="preserve">Teater O´s </w:t>
      </w:r>
      <w:r w:rsidR="00525BD4">
        <w:t>ungdomsforestillingen Halbal fra 2015.</w:t>
      </w:r>
      <w:r w:rsidR="009130D9">
        <w:t xml:space="preserve"> </w:t>
      </w:r>
    </w:p>
    <w:p w14:paraId="3650EC8F" w14:textId="77777777" w:rsidR="00351461" w:rsidRDefault="00351461" w:rsidP="00666DF0"/>
    <w:p w14:paraId="598FF986" w14:textId="77777777" w:rsidR="007D7BC6" w:rsidRDefault="00351461" w:rsidP="007D7BC6">
      <w:r>
        <w:t xml:space="preserve">Kombinationen i den kunstneriske portefølje </w:t>
      </w:r>
      <w:r w:rsidR="00E63715">
        <w:t>er meget bred, men den fungerer</w:t>
      </w:r>
      <w:r w:rsidR="009130D9">
        <w:t xml:space="preserve"> i </w:t>
      </w:r>
      <w:r w:rsidR="00062561">
        <w:t xml:space="preserve">praksis i </w:t>
      </w:r>
      <w:r w:rsidR="009130D9">
        <w:t xml:space="preserve">den </w:t>
      </w:r>
      <w:r w:rsidR="00E63715">
        <w:t>samlede kunstneriske forretningsmodel. Den fremstå</w:t>
      </w:r>
      <w:r w:rsidR="00546D90">
        <w:t>r dog fortsat</w:t>
      </w:r>
      <w:r w:rsidR="00E63715">
        <w:t xml:space="preserve"> </w:t>
      </w:r>
      <w:r w:rsidR="00597E23">
        <w:t xml:space="preserve">noget </w:t>
      </w:r>
      <w:r>
        <w:t>fragmenteret</w:t>
      </w:r>
      <w:r w:rsidR="00597E23">
        <w:t>,</w:t>
      </w:r>
      <w:r w:rsidR="00CD449C">
        <w:t xml:space="preserve"> og det anbefales at </w:t>
      </w:r>
      <w:r w:rsidR="00032B26">
        <w:t xml:space="preserve">teatret i den kommende periode </w:t>
      </w:r>
      <w:r w:rsidR="00270B6B">
        <w:t>har fokus på og handler i retning af</w:t>
      </w:r>
      <w:r w:rsidR="00062561">
        <w:t xml:space="preserve"> </w:t>
      </w:r>
      <w:r w:rsidR="00270B6B">
        <w:t>øget</w:t>
      </w:r>
      <w:r w:rsidR="00032B26">
        <w:t xml:space="preserve"> indre sammenhængskraft</w:t>
      </w:r>
      <w:r w:rsidR="007D7BC6">
        <w:t xml:space="preserve">. Ligeledes er det evaluators anbefaling at den udadvendte kunstneriske profil </w:t>
      </w:r>
      <w:r w:rsidR="00E83F8E">
        <w:t xml:space="preserve">bliver stadig mere </w:t>
      </w:r>
      <w:r w:rsidR="007D7BC6">
        <w:t xml:space="preserve">skarp </w:t>
      </w:r>
      <w:r w:rsidR="00E83F8E">
        <w:t xml:space="preserve">i </w:t>
      </w:r>
      <w:r w:rsidR="007D7BC6">
        <w:t>forskelligheden mellem Black Box Theatre og Musikhus Holstebro</w:t>
      </w:r>
      <w:r w:rsidR="00062561">
        <w:t xml:space="preserve"> på teaterkoncertdelen</w:t>
      </w:r>
      <w:r w:rsidR="007D7BC6">
        <w:t xml:space="preserve">. </w:t>
      </w:r>
    </w:p>
    <w:p w14:paraId="03645FC7" w14:textId="77777777" w:rsidR="00062561" w:rsidRDefault="00062561" w:rsidP="007D7BC6"/>
    <w:p w14:paraId="3CBAFD74" w14:textId="77777777" w:rsidR="00351461" w:rsidRDefault="00546D90" w:rsidP="00666DF0">
      <w:r>
        <w:t>En konkret anbefaling</w:t>
      </w:r>
      <w:r w:rsidR="00062561">
        <w:t xml:space="preserve"> her er, at man gennemfører et kunstnerisk strategiseminar med de faste</w:t>
      </w:r>
      <w:r>
        <w:t xml:space="preserve"> kunstneriske </w:t>
      </w:r>
      <w:r w:rsidR="00062561">
        <w:t>medarbejdere</w:t>
      </w:r>
      <w:r>
        <w:t>, tilknyttet Black Box Theatre</w:t>
      </w:r>
      <w:r w:rsidR="00270B6B">
        <w:t>, evt. bestyrelsen</w:t>
      </w:r>
      <w:r w:rsidR="00062561">
        <w:t xml:space="preserve"> og et par eksperter udefra mhp. at drøfte og skærpe teatrets profil, herunder hvordan er den rette balance mellem de tre kunstneriske genrer? – Kan vi arbejde med mere kunstnerisk synergi og cross overs internt? – Hvordan kommunikerer vi vores egnsteater mere samlet og klart?  - Hvor meget skal vi </w:t>
      </w:r>
      <w:proofErr w:type="spellStart"/>
      <w:r w:rsidR="00062561">
        <w:t>coproducere</w:t>
      </w:r>
      <w:proofErr w:type="spellEnd"/>
      <w:r w:rsidR="00062561">
        <w:t xml:space="preserve"> og turnere i forhold til at være synlige i lokalområdet?</w:t>
      </w:r>
      <w:r w:rsidR="00062561">
        <w:br/>
      </w:r>
    </w:p>
    <w:p w14:paraId="6C9A32C4" w14:textId="77777777" w:rsidR="007B17FA" w:rsidRDefault="00FC64C4" w:rsidP="00635B36">
      <w:r>
        <w:t>Jævnfør ovenstående afsnit lever d</w:t>
      </w:r>
      <w:r w:rsidR="00383BB0">
        <w:t xml:space="preserve">e sete </w:t>
      </w:r>
      <w:r>
        <w:t>danse</w:t>
      </w:r>
      <w:r w:rsidR="00383BB0">
        <w:t xml:space="preserve">forestillinger </w:t>
      </w:r>
      <w:r w:rsidR="00F77767">
        <w:t xml:space="preserve">op til </w:t>
      </w:r>
      <w:r>
        <w:t>teatrets</w:t>
      </w:r>
      <w:r w:rsidR="00635B36">
        <w:t xml:space="preserve"> kunstneriske visioner</w:t>
      </w:r>
      <w:r w:rsidR="0074039E">
        <w:t xml:space="preserve">. Danseproduktionerne </w:t>
      </w:r>
      <w:r w:rsidR="004711DF">
        <w:t xml:space="preserve">er både professionelle og let tilgængelige, og de </w:t>
      </w:r>
      <w:r w:rsidR="0074039E">
        <w:t xml:space="preserve">medvirker </w:t>
      </w:r>
      <w:r w:rsidR="006446F0">
        <w:t xml:space="preserve">herved </w:t>
      </w:r>
      <w:r w:rsidR="0074039E">
        <w:t xml:space="preserve">til </w:t>
      </w:r>
      <w:r w:rsidR="006446F0">
        <w:t xml:space="preserve">at </w:t>
      </w:r>
      <w:r w:rsidR="004711DF">
        <w:t>formidle kunstarten på en</w:t>
      </w:r>
      <w:r w:rsidR="006446F0">
        <w:t xml:space="preserve"> ny måde både lokalt og på turneer</w:t>
      </w:r>
      <w:r w:rsidR="004711DF">
        <w:t xml:space="preserve">. </w:t>
      </w:r>
      <w:r w:rsidR="00604772">
        <w:t xml:space="preserve">Dansekompagniet </w:t>
      </w:r>
      <w:r w:rsidR="00604772">
        <w:rPr>
          <w:i/>
        </w:rPr>
        <w:t>vil</w:t>
      </w:r>
      <w:r w:rsidR="00604772">
        <w:t xml:space="preserve"> noget, levere moderne dans, der er let tilgængeligt, det </w:t>
      </w:r>
      <w:r w:rsidR="00604772">
        <w:rPr>
          <w:i/>
        </w:rPr>
        <w:t>kan</w:t>
      </w:r>
      <w:r w:rsidR="00604772">
        <w:t xml:space="preserve"> noget med kvalitet i dansen såvel som opsætningerne og instruktionen, og det </w:t>
      </w:r>
      <w:r w:rsidR="00604772">
        <w:rPr>
          <w:i/>
        </w:rPr>
        <w:t>skal</w:t>
      </w:r>
      <w:r w:rsidR="00604772">
        <w:t xml:space="preserve"> noget, med aktuelle og relevante emner, der ofte udfordrer gængse tabuer. </w:t>
      </w:r>
      <w:r w:rsidR="00A9000C">
        <w:t>Kompagniets ambition om i stigende grad at integrere performance/skuespil i dansen ses ligeledes realiseret i de aktuelle forestillinger.</w:t>
      </w:r>
      <w:r w:rsidR="007B17FA">
        <w:t xml:space="preserve"> Dansedelen ses af flere af de lokale parter som ekstra vigtig, da Holstebro gennem mange år har prioriteret og profileret sig som moderne dans-by</w:t>
      </w:r>
      <w:r w:rsidR="00C848E1">
        <w:t xml:space="preserve"> (se også kapitel 5).</w:t>
      </w:r>
    </w:p>
    <w:p w14:paraId="729A6B0F" w14:textId="77777777" w:rsidR="00F25D4D" w:rsidRDefault="00F25D4D" w:rsidP="00635B36"/>
    <w:p w14:paraId="290A00FB" w14:textId="77777777" w:rsidR="007E71DC" w:rsidRDefault="006446F0" w:rsidP="00635B36">
      <w:r>
        <w:t xml:space="preserve">Evaluator har ikke haft lejlighed til at se produktioner fra de to øvrige kunstneriske genrer, </w:t>
      </w:r>
      <w:r w:rsidR="007E71DC">
        <w:t xml:space="preserve">dog har det været muligt at se en anden produktion, hvor den kunstneriske leder fungerede som kapelmester. Det </w:t>
      </w:r>
      <w:r w:rsidR="007E71DC" w:rsidRPr="009A06D3">
        <w:t>gjorde han med stor professionalisme og gavmildhed.</w:t>
      </w:r>
      <w:r w:rsidR="007E71DC">
        <w:t xml:space="preserve"> </w:t>
      </w:r>
    </w:p>
    <w:p w14:paraId="7FD471A0" w14:textId="77777777" w:rsidR="007E71DC" w:rsidRDefault="007E71DC" w:rsidP="00635B36"/>
    <w:p w14:paraId="1417FC2A" w14:textId="77777777" w:rsidR="00FA597B" w:rsidRDefault="007E71DC" w:rsidP="00635B36">
      <w:r>
        <w:t xml:space="preserve">I </w:t>
      </w:r>
      <w:r w:rsidR="00DC0833">
        <w:t>følge</w:t>
      </w:r>
      <w:r>
        <w:t xml:space="preserve"> </w:t>
      </w:r>
      <w:r w:rsidR="00DC0833">
        <w:t xml:space="preserve">den kunstneriske </w:t>
      </w:r>
      <w:r w:rsidR="00BB6BB6">
        <w:t>leder</w:t>
      </w:r>
      <w:r w:rsidR="00DC0833">
        <w:t xml:space="preserve"> </w:t>
      </w:r>
      <w:r>
        <w:t>arbejde Black Box Theatre</w:t>
      </w:r>
      <w:r w:rsidR="00DC0833">
        <w:t xml:space="preserve"> målrettet med at forny teaterkoncertkonceptet, </w:t>
      </w:r>
      <w:r w:rsidR="0090366E">
        <w:t xml:space="preserve">herunder </w:t>
      </w:r>
      <w:r w:rsidR="00DC0833">
        <w:t xml:space="preserve">udvikle cross overs mellem teaterkoncert og musical. </w:t>
      </w:r>
      <w:r w:rsidR="00062561">
        <w:t xml:space="preserve">Her anbefales det også </w:t>
      </w:r>
      <w:r w:rsidR="0090366E">
        <w:t>til</w:t>
      </w:r>
      <w:r w:rsidR="00DC0833">
        <w:t xml:space="preserve"> at søge </w:t>
      </w:r>
      <w:r w:rsidR="00EF6831">
        <w:t>cross over</w:t>
      </w:r>
      <w:r w:rsidR="00DC0833">
        <w:t xml:space="preserve"> til den moderne dans, som jo er i huset</w:t>
      </w:r>
      <w:r w:rsidR="00EF6831">
        <w:t xml:space="preserve">. Dette ville </w:t>
      </w:r>
      <w:r w:rsidR="00F078D8">
        <w:t xml:space="preserve">medvirke til at realisere egnsteatrets kunstneriske vision og </w:t>
      </w:r>
      <w:r w:rsidR="00EF6831">
        <w:t>antagelig</w:t>
      </w:r>
      <w:r w:rsidR="00DC0833">
        <w:t xml:space="preserve"> forny begge genrer og give Black Box et helt særligt brand.</w:t>
      </w:r>
      <w:r w:rsidR="00FA597B">
        <w:t xml:space="preserve"> </w:t>
      </w:r>
      <w:r w:rsidR="00683EFD">
        <w:t>I den sammenhæng kan</w:t>
      </w:r>
      <w:r w:rsidR="00FA597B">
        <w:t xml:space="preserve"> teaterkoncertdelen med fordel </w:t>
      </w:r>
      <w:r w:rsidR="00185463">
        <w:t>overveje flere (</w:t>
      </w:r>
      <w:r w:rsidR="00FA597B">
        <w:t>mindre</w:t>
      </w:r>
      <w:r w:rsidR="00185463">
        <w:t>)</w:t>
      </w:r>
      <w:r w:rsidR="00FA597B">
        <w:t xml:space="preserve"> produktioner samt </w:t>
      </w:r>
      <w:r w:rsidR="00760FF0">
        <w:t xml:space="preserve">øget </w:t>
      </w:r>
      <w:r w:rsidR="00FA597B">
        <w:t>medvirke</w:t>
      </w:r>
      <w:r w:rsidR="00760FF0">
        <w:t>n</w:t>
      </w:r>
      <w:r w:rsidR="00FA597B">
        <w:t xml:space="preserve"> i </w:t>
      </w:r>
      <w:r w:rsidR="00760FF0">
        <w:t>det lokale</w:t>
      </w:r>
      <w:r w:rsidR="00FA597B">
        <w:t xml:space="preserve"> kultursamarbejde. </w:t>
      </w:r>
    </w:p>
    <w:p w14:paraId="7731A69B" w14:textId="77777777" w:rsidR="009130D9" w:rsidRPr="00604772" w:rsidRDefault="009130D9" w:rsidP="00F25D4D"/>
    <w:p w14:paraId="46D16FDC" w14:textId="77777777" w:rsidR="00351461" w:rsidRDefault="00351461">
      <w:pPr>
        <w:spacing w:after="200" w:line="276" w:lineRule="auto"/>
      </w:pPr>
    </w:p>
    <w:p w14:paraId="6BBD25F5" w14:textId="77777777" w:rsidR="00FC64C4" w:rsidRDefault="00FC64C4">
      <w:pPr>
        <w:spacing w:after="200" w:line="276" w:lineRule="auto"/>
      </w:pPr>
    </w:p>
    <w:p w14:paraId="52661C71" w14:textId="77777777" w:rsidR="00FC64C4" w:rsidRDefault="00FC64C4">
      <w:pPr>
        <w:spacing w:after="200" w:line="276" w:lineRule="auto"/>
      </w:pPr>
    </w:p>
    <w:p w14:paraId="325DFF62" w14:textId="77777777" w:rsidR="002B43BE" w:rsidRDefault="002B43BE">
      <w:pPr>
        <w:spacing w:after="200" w:line="276" w:lineRule="auto"/>
      </w:pPr>
      <w:r>
        <w:br w:type="page"/>
      </w:r>
    </w:p>
    <w:p w14:paraId="5B1B0E65" w14:textId="77777777" w:rsidR="007425B2" w:rsidRPr="006C3F72" w:rsidRDefault="00401842" w:rsidP="006C3F72">
      <w:pPr>
        <w:pStyle w:val="Overskrift1"/>
      </w:pPr>
      <w:bookmarkStart w:id="10" w:name="_Toc484674627"/>
      <w:r w:rsidRPr="006C3F72">
        <w:t>F</w:t>
      </w:r>
      <w:r w:rsidR="007425B2" w:rsidRPr="006C3F72">
        <w:t>orankring og synlighed</w:t>
      </w:r>
      <w:bookmarkEnd w:id="10"/>
    </w:p>
    <w:p w14:paraId="38041095" w14:textId="77777777" w:rsidR="007425B2" w:rsidRPr="006C3F72" w:rsidRDefault="00E2019D" w:rsidP="006C3F72">
      <w:pPr>
        <w:pStyle w:val="Overskrift2"/>
      </w:pPr>
      <w:bookmarkStart w:id="11" w:name="_Toc484674628"/>
      <w:r w:rsidRPr="006C3F72">
        <w:t>L</w:t>
      </w:r>
      <w:r w:rsidR="007425B2" w:rsidRPr="006C3F72">
        <w:t>okal forankring</w:t>
      </w:r>
      <w:r w:rsidRPr="006C3F72">
        <w:t xml:space="preserve"> og samarbejde</w:t>
      </w:r>
      <w:bookmarkEnd w:id="11"/>
    </w:p>
    <w:p w14:paraId="0EFD0072" w14:textId="77777777" w:rsidR="0005674E" w:rsidRDefault="00F70BA1" w:rsidP="002B43BE">
      <w:r>
        <w:t xml:space="preserve">Black Box Theatre </w:t>
      </w:r>
      <w:r w:rsidR="00FA0848">
        <w:t>er stadig relativ ny i paletten af kulturtilbud i Holstebro, men med den aktuelle egnsteateraftale har teatret markeret sig og er en</w:t>
      </w:r>
      <w:r w:rsidR="0005674E">
        <w:t xml:space="preserve"> aktiv</w:t>
      </w:r>
      <w:r w:rsidR="00FA0848">
        <w:t xml:space="preserve"> del af det lokale kulturliv</w:t>
      </w:r>
      <w:r w:rsidR="0005674E">
        <w:t>, og</w:t>
      </w:r>
      <w:r w:rsidR="00FA0848">
        <w:t xml:space="preserve"> </w:t>
      </w:r>
      <w:r w:rsidR="0005674E">
        <w:t>d</w:t>
      </w:r>
      <w:r w:rsidR="00384E85">
        <w:t>en lokale forankring er således under</w:t>
      </w:r>
      <w:r w:rsidR="009416D0">
        <w:t xml:space="preserve"> </w:t>
      </w:r>
      <w:r w:rsidR="00384E85">
        <w:t xml:space="preserve">opbygning. </w:t>
      </w:r>
      <w:r w:rsidR="003C02A4">
        <w:t xml:space="preserve">Borgerne i området </w:t>
      </w:r>
      <w:r w:rsidR="0005674E">
        <w:t>ved</w:t>
      </w:r>
      <w:r w:rsidR="003C02A4">
        <w:t xml:space="preserve"> ikke nødvendigvis, om de </w:t>
      </w:r>
      <w:r w:rsidR="005308C7">
        <w:t xml:space="preserve">kommer til </w:t>
      </w:r>
      <w:r w:rsidR="003C02A4">
        <w:t>en forestilling med Black Box Theatre eller en i Musikteater Holstebro</w:t>
      </w:r>
      <w:r w:rsidR="0005674E">
        <w:t>. D</w:t>
      </w:r>
      <w:r w:rsidR="003C02A4">
        <w:t xml:space="preserve">et er </w:t>
      </w:r>
      <w:r w:rsidR="005A4880">
        <w:t xml:space="preserve">heller ikke nødvendigvis det vigtigste i en by som Holstebro, hvor fokus meget vel kan være at </w:t>
      </w:r>
      <w:r w:rsidR="003C02A4">
        <w:t xml:space="preserve">få flest mulige </w:t>
      </w:r>
      <w:r w:rsidR="005A4880">
        <w:t xml:space="preserve">publikummer </w:t>
      </w:r>
      <w:r w:rsidR="003C02A4">
        <w:t xml:space="preserve">ind og se kvalitetsteater. </w:t>
      </w:r>
      <w:r w:rsidR="00563602">
        <w:t xml:space="preserve"> Fra Holstebro Kommunes side værdsætter </w:t>
      </w:r>
      <w:r w:rsidR="0005674E">
        <w:t xml:space="preserve">man </w:t>
      </w:r>
      <w:r w:rsidR="00563602">
        <w:t>i høj grad det tætte samarbejde og koordinering mellem Black Box Theatre og Musikteater Holstebro, idet man herfra vurderer, at forretningsmodellen mere eller mindre er forudsætningen for egnsteatrets eksistens.</w:t>
      </w:r>
      <w:r w:rsidR="001075E9">
        <w:t xml:space="preserve"> </w:t>
      </w:r>
      <w:r w:rsidR="0005674E">
        <w:t>Omvendt ser man dog gerne en større klarhed i egnsteatrets profil og kommunikation.</w:t>
      </w:r>
    </w:p>
    <w:p w14:paraId="1B06C080" w14:textId="77777777" w:rsidR="00563602" w:rsidRPr="003874B6" w:rsidRDefault="00563602" w:rsidP="002B43BE"/>
    <w:p w14:paraId="6D13B2FB" w14:textId="77777777" w:rsidR="00937DFE" w:rsidRDefault="009416D0" w:rsidP="00937DFE">
      <w:r w:rsidRPr="003874B6">
        <w:t xml:space="preserve">Samarbejdet </w:t>
      </w:r>
      <w:r w:rsidR="00E02618" w:rsidRPr="003874B6">
        <w:t xml:space="preserve">med </w:t>
      </w:r>
      <w:r w:rsidR="005A4880">
        <w:t xml:space="preserve">Balletskolen og </w:t>
      </w:r>
      <w:r w:rsidR="00E02618" w:rsidRPr="003874B6">
        <w:t>Dansk Talentakademi</w:t>
      </w:r>
      <w:r w:rsidRPr="003874B6">
        <w:t xml:space="preserve"> i Holstebro har styrket b</w:t>
      </w:r>
      <w:r w:rsidR="008A530A" w:rsidRPr="003874B6">
        <w:t xml:space="preserve">åde </w:t>
      </w:r>
      <w:r w:rsidR="003E5BF2">
        <w:t>egns</w:t>
      </w:r>
      <w:r w:rsidR="008A530A" w:rsidRPr="003874B6">
        <w:t>teatret og akademiet</w:t>
      </w:r>
      <w:r w:rsidR="003874B6" w:rsidRPr="003874B6">
        <w:t xml:space="preserve">. Dansk Talentakademi er en flerstrenget kunstnerisk talentudviklingsskole (på niveau med Musikalsk Grundkursus, MGK, jf. musikloven). Akademiet har de fem linjer: </w:t>
      </w:r>
      <w:r w:rsidR="003874B6">
        <w:t xml:space="preserve">Dans, </w:t>
      </w:r>
      <w:r w:rsidR="003874B6" w:rsidRPr="003874B6">
        <w:t>Musical &amp; Teater</w:t>
      </w:r>
      <w:r w:rsidR="003874B6">
        <w:t>,</w:t>
      </w:r>
      <w:r w:rsidR="003874B6" w:rsidRPr="003874B6">
        <w:t xml:space="preserve"> Kunst &amp; Design, Forfatter samt Musik.</w:t>
      </w:r>
      <w:r w:rsidR="00563602">
        <w:t xml:space="preserve"> </w:t>
      </w:r>
      <w:r w:rsidR="008A530A">
        <w:t xml:space="preserve">Det giver en god synergi ved at have </w:t>
      </w:r>
      <w:r w:rsidR="001075E9">
        <w:t xml:space="preserve">både </w:t>
      </w:r>
      <w:r w:rsidR="008A530A">
        <w:t xml:space="preserve">unge professionelle dansere og tilsvarende talenter i byen, og det har styrket kommunens profil som </w:t>
      </w:r>
      <w:proofErr w:type="spellStart"/>
      <w:r w:rsidR="008A530A">
        <w:t>danseby</w:t>
      </w:r>
      <w:proofErr w:type="spellEnd"/>
      <w:r w:rsidR="000D6A8B">
        <w:t xml:space="preserve">. </w:t>
      </w:r>
      <w:r w:rsidR="003E5BF2">
        <w:t>(</w:t>
      </w:r>
      <w:r w:rsidR="000D6A8B">
        <w:t>K</w:t>
      </w:r>
      <w:r w:rsidR="008A530A">
        <w:t>onkret har man som det eneste sted i landet en balletbørnehave</w:t>
      </w:r>
      <w:r w:rsidR="003E5BF2">
        <w:t>)</w:t>
      </w:r>
      <w:r w:rsidR="008A530A">
        <w:t>.</w:t>
      </w:r>
      <w:r w:rsidR="001075E9">
        <w:t xml:space="preserve"> Black Box Dance Company samarbejder også med Den Kongelige Balletskole i Holstebro og har </w:t>
      </w:r>
      <w:r w:rsidR="005A4880">
        <w:t xml:space="preserve">endvidere både </w:t>
      </w:r>
      <w:r w:rsidR="001075E9">
        <w:t xml:space="preserve">undervisningsforløb </w:t>
      </w:r>
      <w:r w:rsidR="005A4880">
        <w:t xml:space="preserve">og andre scenekunstaktiviteter </w:t>
      </w:r>
      <w:r w:rsidR="001075E9">
        <w:t xml:space="preserve">sammen med </w:t>
      </w:r>
      <w:r w:rsidR="005A4880">
        <w:t xml:space="preserve">især </w:t>
      </w:r>
      <w:r w:rsidR="001075E9">
        <w:t>Odinteatret</w:t>
      </w:r>
      <w:r w:rsidR="005A4880">
        <w:t xml:space="preserve"> men også Operaen i Midten</w:t>
      </w:r>
      <w:r w:rsidR="001075E9">
        <w:t xml:space="preserve">. </w:t>
      </w:r>
    </w:p>
    <w:p w14:paraId="27C64823" w14:textId="77777777" w:rsidR="00F70BA1" w:rsidRDefault="00F70BA1" w:rsidP="002B43BE"/>
    <w:p w14:paraId="7CCA316A" w14:textId="77777777" w:rsidR="009416D0" w:rsidRDefault="00395A25" w:rsidP="009416D0">
      <w:r>
        <w:t>Det forhold at l</w:t>
      </w:r>
      <w:r w:rsidR="001075E9" w:rsidRPr="001075E9">
        <w:t>ederen af Black Box Dance Company bo</w:t>
      </w:r>
      <w:r>
        <w:t>r</w:t>
      </w:r>
      <w:r w:rsidR="001075E9" w:rsidRPr="001075E9">
        <w:t xml:space="preserve"> </w:t>
      </w:r>
      <w:r w:rsidR="001075E9">
        <w:t>i</w:t>
      </w:r>
      <w:r w:rsidR="001075E9" w:rsidRPr="001075E9">
        <w:t xml:space="preserve"> Holstebro </w:t>
      </w:r>
      <w:r w:rsidR="001075E9">
        <w:t xml:space="preserve">og her </w:t>
      </w:r>
      <w:r w:rsidR="001075E9" w:rsidRPr="001075E9">
        <w:t>engagere</w:t>
      </w:r>
      <w:r>
        <w:t>r</w:t>
      </w:r>
      <w:r w:rsidR="001075E9" w:rsidRPr="001075E9">
        <w:t xml:space="preserve"> sig</w:t>
      </w:r>
      <w:r w:rsidR="001075E9">
        <w:t xml:space="preserve"> i det lokale kulturliv</w:t>
      </w:r>
      <w:r>
        <w:t xml:space="preserve"> virker gunstigt</w:t>
      </w:r>
      <w:r w:rsidR="001075E9">
        <w:t xml:space="preserve">. </w:t>
      </w:r>
      <w:r>
        <w:t>Og vurderingen fra flere forskellige sider er, at dansekompa</w:t>
      </w:r>
      <w:r w:rsidR="005A4880">
        <w:t>g</w:t>
      </w:r>
      <w:r>
        <w:t>niet i den grad har været med til at sætte Holstebro på landkortet</w:t>
      </w:r>
      <w:r w:rsidR="009708A5">
        <w:t xml:space="preserve"> og bidraget væsentligt i den </w:t>
      </w:r>
      <w:r w:rsidR="002A2214">
        <w:t>danse</w:t>
      </w:r>
      <w:r w:rsidR="009708A5">
        <w:t>kunstneriske fødekæde</w:t>
      </w:r>
      <w:r>
        <w:t>.</w:t>
      </w:r>
      <w:r w:rsidR="00E11E7A">
        <w:t xml:space="preserve"> </w:t>
      </w:r>
      <w:r w:rsidR="009416D0">
        <w:t xml:space="preserve">Den omfattende turnéaktivitet har endvidere markeret Black Box Theatre landet over. </w:t>
      </w:r>
    </w:p>
    <w:p w14:paraId="73D6B361" w14:textId="77777777" w:rsidR="00ED1C33" w:rsidRDefault="00ED1C33" w:rsidP="009416D0"/>
    <w:p w14:paraId="0EAC8475" w14:textId="77777777" w:rsidR="009416D0" w:rsidRDefault="00ED1C33" w:rsidP="002B43BE">
      <w:r>
        <w:t xml:space="preserve">Samproduktionerne og samarbejdet med flere af de store egnsteatre har gjort, at de store forestillinger har været sat op flere steder i landet, og dansedelen har tilsvarende været synlig i hele landet samt i udlandet. </w:t>
      </w:r>
      <w:r w:rsidR="000316F4">
        <w:t>I</w:t>
      </w:r>
      <w:r w:rsidR="00D3134B">
        <w:t>kke mindst i</w:t>
      </w:r>
      <w:r w:rsidR="000316F4">
        <w:t xml:space="preserve"> kraft af de kunstneriske ledere har teatret et meget stort kunstnerisk netværk både i København</w:t>
      </w:r>
      <w:r w:rsidR="00181C85">
        <w:t xml:space="preserve"> og Aarhus, i Region</w:t>
      </w:r>
      <w:r w:rsidR="000316F4">
        <w:t xml:space="preserve"> </w:t>
      </w:r>
      <w:r w:rsidR="00181C85">
        <w:t xml:space="preserve">Midtjylland </w:t>
      </w:r>
      <w:r w:rsidR="000316F4">
        <w:t>og i udlandet</w:t>
      </w:r>
      <w:r w:rsidR="00A57706">
        <w:t>, både enkeltkunstnere, kompagnier</w:t>
      </w:r>
      <w:r w:rsidR="00A35CC9">
        <w:t>, producenter</w:t>
      </w:r>
      <w:r w:rsidR="00A57706">
        <w:t xml:space="preserve"> og scenekunstinstitutioner</w:t>
      </w:r>
      <w:r w:rsidR="000316F4">
        <w:t xml:space="preserve">. </w:t>
      </w:r>
      <w:r w:rsidR="00A35CC9">
        <w:t xml:space="preserve">Ligeledes har </w:t>
      </w:r>
      <w:r w:rsidR="0032274A">
        <w:t>egns</w:t>
      </w:r>
      <w:r w:rsidR="00A35CC9">
        <w:t>teatret qua Musikteatret aftaler med flere turnéarrangører som fx D</w:t>
      </w:r>
      <w:r w:rsidR="003E5BF2">
        <w:t>K</w:t>
      </w:r>
      <w:r w:rsidR="00A35CC9">
        <w:t>K</w:t>
      </w:r>
      <w:r w:rsidR="003E5BF2">
        <w:t>, Danske Kultur og Koncerthuse</w:t>
      </w:r>
      <w:r w:rsidR="00A35CC9">
        <w:t xml:space="preserve">, hvilket er stærkt medvirkende til teatrets store turnéaktivitet. </w:t>
      </w:r>
    </w:p>
    <w:p w14:paraId="0B62257E" w14:textId="77777777" w:rsidR="007425B2" w:rsidRPr="006C3F72" w:rsidRDefault="00E2019D" w:rsidP="006C3F72">
      <w:pPr>
        <w:pStyle w:val="Overskrift2"/>
      </w:pPr>
      <w:bookmarkStart w:id="12" w:name="_Toc484674629"/>
      <w:r w:rsidRPr="006C3F72">
        <w:t>Kommunikation og s</w:t>
      </w:r>
      <w:r w:rsidR="007425B2" w:rsidRPr="006C3F72">
        <w:t>ynlighed</w:t>
      </w:r>
      <w:bookmarkEnd w:id="12"/>
    </w:p>
    <w:p w14:paraId="4F4513F6" w14:textId="77777777" w:rsidR="003E5BF2" w:rsidRDefault="00A55225" w:rsidP="00157B42">
      <w:r>
        <w:t xml:space="preserve">PR </w:t>
      </w:r>
      <w:r w:rsidR="00563C6B">
        <w:t>og</w:t>
      </w:r>
      <w:r>
        <w:t xml:space="preserve"> markedsføringsarbejde</w:t>
      </w:r>
      <w:r w:rsidR="00563C6B">
        <w:t>t håndteres professionelt og målrettet af Musikteatres administration</w:t>
      </w:r>
      <w:r w:rsidR="004214BB">
        <w:t xml:space="preserve"> og i nær dialog med</w:t>
      </w:r>
      <w:r w:rsidR="00C53FC3">
        <w:t xml:space="preserve"> lederen</w:t>
      </w:r>
      <w:r w:rsidR="004214BB">
        <w:t xml:space="preserve"> i Black Box Theatre</w:t>
      </w:r>
      <w:r w:rsidR="00563C6B">
        <w:t xml:space="preserve">. </w:t>
      </w:r>
      <w:r w:rsidR="008D6416">
        <w:t xml:space="preserve">Det sker typisk via de sociale medier, annoncer, </w:t>
      </w:r>
      <w:r w:rsidR="002A6C32">
        <w:t xml:space="preserve">pyloner, TV reklamer, </w:t>
      </w:r>
      <w:r w:rsidR="008D6416">
        <w:t>storskærmsannonceringer</w:t>
      </w:r>
      <w:r w:rsidR="002D0267">
        <w:t xml:space="preserve">, </w:t>
      </w:r>
      <w:r w:rsidR="008D6416">
        <w:t>festivaler</w:t>
      </w:r>
      <w:r w:rsidR="003E5BF2">
        <w:t>,</w:t>
      </w:r>
      <w:r w:rsidR="002D0267">
        <w:t xml:space="preserve"> salgsmesser </w:t>
      </w:r>
      <w:r w:rsidR="008D6416">
        <w:t xml:space="preserve">mv. </w:t>
      </w:r>
      <w:r w:rsidR="003E5BF2">
        <w:t>I</w:t>
      </w:r>
      <w:r w:rsidR="002A6C32">
        <w:t xml:space="preserve"> forbindelse med 50 års jubilæet</w:t>
      </w:r>
      <w:r w:rsidR="003E5BF2">
        <w:t xml:space="preserve"> for Musikteatret var det Black Box Dance Company, der blev valgt til at performe ved Kronprinseparrets prisuddeling, som også blev vist på DR1. Dette har flere af de adspurgte kommenteret, og fra kommunens side betones det som vigtig lokal branding og identitetsstyrkelse. Musikteatret har også en sponsorklub med ca. 150 medlemmer i tre forskellige kategorier. Egnsteatret fungerer i regi af klubben, og det afstedkommer salg af både billetter forestillinger til sponsormedlemmer.</w:t>
      </w:r>
    </w:p>
    <w:p w14:paraId="281B9F42" w14:textId="77777777" w:rsidR="003E5BF2" w:rsidRDefault="003E5BF2" w:rsidP="00157B42"/>
    <w:p w14:paraId="46B9671D" w14:textId="77777777" w:rsidR="003E5BF2" w:rsidRDefault="001833CA" w:rsidP="003E5BF2">
      <w:r>
        <w:t xml:space="preserve">Musikteatret </w:t>
      </w:r>
      <w:r w:rsidR="00E34AF9">
        <w:t xml:space="preserve">har generelt et stort lokalt/regionalt netværk og arbejder via </w:t>
      </w:r>
      <w:r w:rsidR="00882609">
        <w:t xml:space="preserve">professionelle </w:t>
      </w:r>
      <w:r w:rsidR="00E34AF9">
        <w:t>presse- og markedsføringsstrategier og løbende statistik</w:t>
      </w:r>
      <w:r w:rsidR="00CC266D">
        <w:t xml:space="preserve"> for den samlede effekt</w:t>
      </w:r>
      <w:r w:rsidR="00E34AF9">
        <w:t>. Huset e</w:t>
      </w:r>
      <w:r>
        <w:t>r stærk</w:t>
      </w:r>
      <w:r w:rsidR="00882609">
        <w:t>t</w:t>
      </w:r>
      <w:r w:rsidR="00B07DB1">
        <w:t xml:space="preserve"> på de digitale platform</w:t>
      </w:r>
      <w:r w:rsidR="00882609">
        <w:t>e</w:t>
      </w:r>
      <w:r w:rsidR="006608F1">
        <w:t xml:space="preserve">, </w:t>
      </w:r>
      <w:r w:rsidR="008D6416">
        <w:t>her</w:t>
      </w:r>
      <w:r w:rsidR="006608F1">
        <w:t xml:space="preserve"> </w:t>
      </w:r>
      <w:r w:rsidR="008D6416">
        <w:t>akkumuleres</w:t>
      </w:r>
      <w:r w:rsidR="006608F1">
        <w:t xml:space="preserve"> systematisk viden om målgrupperne, og hvordan de bedste nås, </w:t>
      </w:r>
      <w:r w:rsidR="00B07DB1">
        <w:t xml:space="preserve">og </w:t>
      </w:r>
      <w:r>
        <w:t>de</w:t>
      </w:r>
      <w:r w:rsidR="008D6416">
        <w:t>r</w:t>
      </w:r>
      <w:r>
        <w:t xml:space="preserve"> </w:t>
      </w:r>
      <w:r w:rsidR="00B07DB1">
        <w:t>arbejder</w:t>
      </w:r>
      <w:r w:rsidR="008D6416">
        <w:t>s</w:t>
      </w:r>
      <w:r w:rsidR="006608F1">
        <w:t xml:space="preserve"> </w:t>
      </w:r>
      <w:r w:rsidR="00B07DB1">
        <w:t xml:space="preserve">meget med </w:t>
      </w:r>
      <w:proofErr w:type="spellStart"/>
      <w:r w:rsidR="00B07DB1">
        <w:t>direct</w:t>
      </w:r>
      <w:proofErr w:type="spellEnd"/>
      <w:r w:rsidR="00B07DB1">
        <w:t xml:space="preserve"> mail.</w:t>
      </w:r>
      <w:r>
        <w:t xml:space="preserve"> </w:t>
      </w:r>
    </w:p>
    <w:p w14:paraId="51B5AFF5" w14:textId="77777777" w:rsidR="00B07DB1" w:rsidRDefault="00B07DB1" w:rsidP="000D0E77"/>
    <w:p w14:paraId="422C1D79" w14:textId="77777777" w:rsidR="00EB28C7" w:rsidRDefault="00EB28C7" w:rsidP="000D0E77">
      <w:r>
        <w:t xml:space="preserve">Black Box Theatre har en selvstændig hjemmeside, men den er ikke ret informativ eller aktiv. </w:t>
      </w:r>
      <w:r w:rsidR="0020635F">
        <w:t>Man kan fx ikke købe billetter dér. Det skal man gøre på Musikteatrets hjemmeside. Teatrets egen hjemmeside er skævt balanceret</w:t>
      </w:r>
      <w:r w:rsidR="00882609">
        <w:t>.</w:t>
      </w:r>
      <w:r w:rsidR="0020635F">
        <w:t xml:space="preserve"> Black Box Theatre har to mulige opslag, hhv. OM og KONTAKT, mens Black Box Dance Company</w:t>
      </w:r>
      <w:r w:rsidR="00704934">
        <w:t xml:space="preserve"> fremstår mere helstøbt eller selvstændig med de gængse opslagsmuligheder i forhold til at være et lokalt egnsteater. Teater O er ikke synlig på hjemmesiden.</w:t>
      </w:r>
    </w:p>
    <w:p w14:paraId="31739222" w14:textId="77777777" w:rsidR="00FD5C32" w:rsidRPr="006C3F72" w:rsidRDefault="00FD5C32" w:rsidP="006C3F72">
      <w:pPr>
        <w:pStyle w:val="Overskrift2"/>
      </w:pPr>
      <w:bookmarkStart w:id="13" w:name="_Toc484674630"/>
      <w:r w:rsidRPr="006C3F72">
        <w:t xml:space="preserve">Vurdering af forankring og </w:t>
      </w:r>
      <w:r w:rsidR="00F56389">
        <w:t>synlighed</w:t>
      </w:r>
      <w:bookmarkEnd w:id="13"/>
    </w:p>
    <w:p w14:paraId="39BA00C3" w14:textId="77777777" w:rsidR="009929E0" w:rsidRDefault="009929E0" w:rsidP="00604383">
      <w:r>
        <w:t>Samlet set vurderer evaluator, at den lokale forankring er</w:t>
      </w:r>
      <w:r w:rsidR="00B912BC">
        <w:t xml:space="preserve"> godt på vej</w:t>
      </w:r>
      <w:r>
        <w:t xml:space="preserve">. Der er arbejdet meget med den opgave i den aktuelle aftaleperiode. Ikke mindst de </w:t>
      </w:r>
      <w:r w:rsidR="00DB14B5">
        <w:t>danse</w:t>
      </w:r>
      <w:r>
        <w:t xml:space="preserve">faglige synergier med </w:t>
      </w:r>
      <w:r w:rsidR="002F105F">
        <w:t>skoler og institutioner i området</w:t>
      </w:r>
      <w:r w:rsidR="00714D14">
        <w:t xml:space="preserve"> giver rigtig god mening og skaber synergi inden for </w:t>
      </w:r>
      <w:r w:rsidR="00DB14B5">
        <w:t>kunstarten</w:t>
      </w:r>
      <w:r w:rsidR="00714D14">
        <w:t xml:space="preserve"> og </w:t>
      </w:r>
      <w:r w:rsidR="00C94303">
        <w:t xml:space="preserve">i </w:t>
      </w:r>
      <w:r w:rsidR="00714D14">
        <w:t xml:space="preserve">det </w:t>
      </w:r>
      <w:r w:rsidR="00DB14B5">
        <w:t xml:space="preserve">lokale, </w:t>
      </w:r>
      <w:r w:rsidR="00714D14">
        <w:t>kunstneriske miljø</w:t>
      </w:r>
      <w:r w:rsidR="002F105F">
        <w:t>.</w:t>
      </w:r>
    </w:p>
    <w:p w14:paraId="2FBC0D96" w14:textId="77777777" w:rsidR="009929E0" w:rsidRDefault="009929E0" w:rsidP="00604383"/>
    <w:p w14:paraId="5C61F7AD" w14:textId="77777777" w:rsidR="00604383" w:rsidRDefault="009929E0" w:rsidP="00604383">
      <w:r>
        <w:t>Samtidig er vurderingen, at der er et stykke vej endnu i forhold til endelig lokal konsolidering af Black Box Theatre</w:t>
      </w:r>
      <w:r w:rsidR="00C94303">
        <w:t xml:space="preserve"> i Holstebro</w:t>
      </w:r>
      <w:r>
        <w:t>.</w:t>
      </w:r>
      <w:r w:rsidR="00B70CD4">
        <w:t xml:space="preserve"> På den ene side er det forståeligt, at </w:t>
      </w:r>
      <w:r w:rsidR="009F02D4">
        <w:t xml:space="preserve">der styres efter </w:t>
      </w:r>
      <w:r w:rsidR="00B70CD4">
        <w:t xml:space="preserve">”flest mulige i teatret”, men sammenholdt med, at den kunstneriske profil endnu ikke er tydelig, svækkes den samlede gennemslagskraft for Black Box Theatre. </w:t>
      </w:r>
      <w:r w:rsidR="00C94303">
        <w:t xml:space="preserve"> </w:t>
      </w:r>
      <w:r w:rsidR="00C53FC3">
        <w:t>Egnsteatret kommer i for høj grad til at fremstå uklart, og habilitetsspørgsmålet næres unødigt herved.</w:t>
      </w:r>
      <w:r w:rsidR="009F02D4">
        <w:t xml:space="preserve"> </w:t>
      </w:r>
    </w:p>
    <w:p w14:paraId="35678CED" w14:textId="77777777" w:rsidR="009F02D4" w:rsidRDefault="009F02D4" w:rsidP="00604383"/>
    <w:p w14:paraId="60963B35" w14:textId="77777777" w:rsidR="00BB127D" w:rsidRDefault="00571295" w:rsidP="00604383">
      <w:r>
        <w:t xml:space="preserve">Via Musikteatrets markedsføringsindsats og kontaktflader får Black Box Theatres forestillinger meget synlighed på de forskellige platforme. Til gengæld er teatret som selvstændig kunstinstitution ikke så synlig. </w:t>
      </w:r>
      <w:r w:rsidR="00BB127D">
        <w:t xml:space="preserve">I de kunstfaglige miljøer er ikke mindst Black Box </w:t>
      </w:r>
      <w:r w:rsidR="00882609">
        <w:t>Dance Company</w:t>
      </w:r>
      <w:r w:rsidR="002B2505">
        <w:t xml:space="preserve"> (/Marie Brolin-Tani)</w:t>
      </w:r>
      <w:r w:rsidR="00882609">
        <w:t xml:space="preserve"> </w:t>
      </w:r>
      <w:r w:rsidR="00BB127D">
        <w:t xml:space="preserve">og Teater O kendte og anerkendte. Men en øget synlighed på den samlede institution og på Holstebro som kunst- og </w:t>
      </w:r>
      <w:proofErr w:type="spellStart"/>
      <w:r w:rsidR="00BB127D">
        <w:t>danseby</w:t>
      </w:r>
      <w:proofErr w:type="spellEnd"/>
      <w:r w:rsidR="00BB127D">
        <w:t xml:space="preserve"> kan med fordel skærpes.</w:t>
      </w:r>
      <w:r w:rsidR="00BB127D">
        <w:br/>
      </w:r>
    </w:p>
    <w:p w14:paraId="7E6A5BA8" w14:textId="77777777" w:rsidR="00604383" w:rsidRPr="009F02D4" w:rsidRDefault="007D3B2B" w:rsidP="00E11E7A">
      <w:pPr>
        <w:rPr>
          <w:color w:val="000000" w:themeColor="text1"/>
        </w:rPr>
      </w:pPr>
      <w:r>
        <w:t xml:space="preserve">Her </w:t>
      </w:r>
      <w:r w:rsidR="00CC266D">
        <w:t xml:space="preserve">anbefales det, at Black Box Theatre </w:t>
      </w:r>
      <w:r w:rsidR="00571295">
        <w:t xml:space="preserve">styrker den selvstændige branding af teatret </w:t>
      </w:r>
      <w:r>
        <w:t xml:space="preserve">og Holstebro </w:t>
      </w:r>
      <w:r w:rsidRPr="009F02D4">
        <w:t>Kommune på forskellige måder</w:t>
      </w:r>
      <w:r w:rsidR="00BB127D" w:rsidRPr="009F02D4">
        <w:t>, evt. i samarbejde med kommunen.</w:t>
      </w:r>
      <w:r w:rsidRPr="009F02D4">
        <w:t xml:space="preserve"> </w:t>
      </w:r>
      <w:r w:rsidR="009F02D4" w:rsidRPr="009F02D4">
        <w:rPr>
          <w:color w:val="000000" w:themeColor="text1"/>
        </w:rPr>
        <w:t>Herved kan der udvikles en ny og mere klar kunstnerisk signatur og bevidst balancering mellem de tre sub brands</w:t>
      </w:r>
      <w:r w:rsidR="009F02D4">
        <w:rPr>
          <w:color w:val="000000" w:themeColor="text1"/>
        </w:rPr>
        <w:t xml:space="preserve">. </w:t>
      </w:r>
      <w:r>
        <w:t>Helt konkret kan man starte med at</w:t>
      </w:r>
      <w:r w:rsidR="00BB127D">
        <w:t xml:space="preserve"> opgradere teatrets hjemmeside</w:t>
      </w:r>
      <w:r w:rsidR="00E11E7A">
        <w:t>.</w:t>
      </w:r>
      <w:r>
        <w:t xml:space="preserve"> </w:t>
      </w:r>
      <w:r w:rsidR="00E11E7A">
        <w:t>D</w:t>
      </w:r>
      <w:r>
        <w:t xml:space="preserve">er ligger også en opgave i at </w:t>
      </w:r>
      <w:r w:rsidR="00322369">
        <w:t xml:space="preserve">lave en selvstændig kommunikationsstrategi for teatret, med respekt for de mange stordriftsfordele, der opnås via Musikteatrets </w:t>
      </w:r>
      <w:r w:rsidR="00101E41">
        <w:t>PR-</w:t>
      </w:r>
      <w:r w:rsidR="00322369">
        <w:t>arbejde</w:t>
      </w:r>
      <w:r w:rsidR="00BB127D">
        <w:t>.</w:t>
      </w:r>
      <w:r w:rsidR="00223FA1">
        <w:t xml:space="preserve"> Black Box Theatre skal </w:t>
      </w:r>
      <w:r w:rsidR="00882609">
        <w:t xml:space="preserve">i højere grad </w:t>
      </w:r>
      <w:r w:rsidR="00223FA1">
        <w:t>se sig i rollen som bestiller af en opgave, som teatret betaler for, snarere end</w:t>
      </w:r>
      <w:r w:rsidR="00382655">
        <w:t xml:space="preserve"> at de er </w:t>
      </w:r>
      <w:r w:rsidR="00BB127D">
        <w:t>”</w:t>
      </w:r>
      <w:r w:rsidR="00382655">
        <w:t>heldige</w:t>
      </w:r>
      <w:r w:rsidR="00BB127D">
        <w:t>”</w:t>
      </w:r>
      <w:r w:rsidR="00382655">
        <w:t>,</w:t>
      </w:r>
      <w:r w:rsidR="00BB127D">
        <w:t xml:space="preserve"> at</w:t>
      </w:r>
      <w:r w:rsidR="00382655">
        <w:t xml:space="preserve"> de får lo</w:t>
      </w:r>
      <w:r w:rsidR="00BB127D">
        <w:t>v til at komme med i kataloger og anden markedsføring</w:t>
      </w:r>
      <w:r w:rsidR="00382655">
        <w:t>.</w:t>
      </w:r>
    </w:p>
    <w:p w14:paraId="514B4274" w14:textId="77777777" w:rsidR="00E2019D" w:rsidRPr="006C3F72" w:rsidRDefault="00E2019D" w:rsidP="006C3F72">
      <w:pPr>
        <w:pStyle w:val="Overskrift1"/>
      </w:pPr>
      <w:bookmarkStart w:id="14" w:name="_Toc484674631"/>
      <w:r w:rsidRPr="006C3F72">
        <w:t xml:space="preserve">Metode </w:t>
      </w:r>
      <w:r w:rsidR="000D0E77" w:rsidRPr="006C3F72">
        <w:t>–</w:t>
      </w:r>
      <w:r w:rsidRPr="006C3F72">
        <w:t xml:space="preserve"> dataindsamling</w:t>
      </w:r>
      <w:bookmarkEnd w:id="14"/>
    </w:p>
    <w:p w14:paraId="4F4130E2" w14:textId="77777777" w:rsidR="003D2868" w:rsidRDefault="003D2868" w:rsidP="003D2868">
      <w:r>
        <w:t>Evalueringen er gennemført over fire faser ud fra følgende fremgangsmåde:</w:t>
      </w:r>
    </w:p>
    <w:p w14:paraId="12FD38A7" w14:textId="77777777" w:rsidR="003D2868" w:rsidRDefault="003D2868" w:rsidP="003D2868"/>
    <w:tbl>
      <w:tblPr>
        <w:tblStyle w:val="Tabel-Gitter"/>
        <w:tblW w:w="0" w:type="auto"/>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638"/>
      </w:tblGrid>
      <w:tr w:rsidR="006C3F72" w:rsidRPr="006C3F72" w14:paraId="363B13B7" w14:textId="77777777" w:rsidTr="00617144">
        <w:tc>
          <w:tcPr>
            <w:tcW w:w="9778" w:type="dxa"/>
            <w:tcBorders>
              <w:top w:val="single" w:sz="4" w:space="0" w:color="403152" w:themeColor="accent3"/>
              <w:bottom w:val="single" w:sz="4" w:space="0" w:color="403152" w:themeColor="accent3"/>
            </w:tcBorders>
            <w:shd w:val="clear" w:color="auto" w:fill="403152" w:themeFill="accent3"/>
          </w:tcPr>
          <w:p w14:paraId="17731D63" w14:textId="77777777" w:rsidR="003D2868" w:rsidRPr="006C3F72" w:rsidRDefault="003D2868" w:rsidP="00CB074D">
            <w:pPr>
              <w:spacing w:before="40" w:after="40"/>
              <w:rPr>
                <w:b/>
                <w:color w:val="FFFFFF" w:themeColor="background1"/>
                <w:sz w:val="18"/>
                <w:szCs w:val="18"/>
              </w:rPr>
            </w:pPr>
            <w:r w:rsidRPr="006C3F72">
              <w:rPr>
                <w:b/>
                <w:color w:val="FFFFFF" w:themeColor="background1"/>
                <w:sz w:val="18"/>
                <w:szCs w:val="18"/>
              </w:rPr>
              <w:t>Metoder og interessenter</w:t>
            </w:r>
          </w:p>
        </w:tc>
      </w:tr>
      <w:tr w:rsidR="003D2868" w:rsidRPr="00FE2E30" w14:paraId="3A48213A" w14:textId="77777777" w:rsidTr="00617144">
        <w:tc>
          <w:tcPr>
            <w:tcW w:w="9778" w:type="dxa"/>
            <w:tcBorders>
              <w:top w:val="single" w:sz="4" w:space="0" w:color="403152" w:themeColor="accent3"/>
              <w:bottom w:val="single" w:sz="4" w:space="0" w:color="403152" w:themeColor="accent3"/>
            </w:tcBorders>
          </w:tcPr>
          <w:p w14:paraId="13702887" w14:textId="77777777" w:rsidR="003D2868" w:rsidRPr="00FE2E30" w:rsidRDefault="003D2868" w:rsidP="00CB074D">
            <w:pPr>
              <w:spacing w:before="40" w:after="40"/>
              <w:rPr>
                <w:i/>
                <w:sz w:val="18"/>
                <w:szCs w:val="18"/>
              </w:rPr>
            </w:pPr>
            <w:r w:rsidRPr="00FE2E30">
              <w:rPr>
                <w:i/>
                <w:sz w:val="18"/>
                <w:szCs w:val="18"/>
              </w:rPr>
              <w:t xml:space="preserve">Desk research </w:t>
            </w:r>
          </w:p>
          <w:p w14:paraId="50CF7CBD" w14:textId="77777777" w:rsidR="003D2868" w:rsidRDefault="00604383" w:rsidP="00CB074D">
            <w:pPr>
              <w:pStyle w:val="Listeafsnit"/>
              <w:numPr>
                <w:ilvl w:val="0"/>
                <w:numId w:val="12"/>
              </w:numPr>
              <w:spacing w:before="40" w:after="40"/>
              <w:rPr>
                <w:iCs/>
                <w:color w:val="000000"/>
                <w:sz w:val="18"/>
                <w:szCs w:val="18"/>
              </w:rPr>
            </w:pPr>
            <w:r>
              <w:rPr>
                <w:iCs/>
                <w:color w:val="000000"/>
                <w:sz w:val="18"/>
                <w:szCs w:val="18"/>
              </w:rPr>
              <w:t xml:space="preserve">Desk research, </w:t>
            </w:r>
            <w:r w:rsidR="003D2868" w:rsidRPr="00FE2E30">
              <w:rPr>
                <w:iCs/>
                <w:color w:val="000000"/>
                <w:sz w:val="18"/>
                <w:szCs w:val="18"/>
              </w:rPr>
              <w:t xml:space="preserve">herunder </w:t>
            </w:r>
            <w:r>
              <w:rPr>
                <w:iCs/>
                <w:color w:val="000000"/>
                <w:sz w:val="18"/>
                <w:szCs w:val="18"/>
              </w:rPr>
              <w:t xml:space="preserve">vedtægter, </w:t>
            </w:r>
            <w:r w:rsidR="008E45F4">
              <w:rPr>
                <w:iCs/>
                <w:color w:val="000000"/>
                <w:sz w:val="18"/>
                <w:szCs w:val="18"/>
              </w:rPr>
              <w:t>egnsteater</w:t>
            </w:r>
            <w:r>
              <w:rPr>
                <w:iCs/>
                <w:color w:val="000000"/>
                <w:sz w:val="18"/>
                <w:szCs w:val="18"/>
              </w:rPr>
              <w:t xml:space="preserve">aftale, </w:t>
            </w:r>
            <w:r w:rsidR="003D2868" w:rsidRPr="00FE2E30">
              <w:rPr>
                <w:iCs/>
                <w:color w:val="000000"/>
                <w:sz w:val="18"/>
                <w:szCs w:val="18"/>
              </w:rPr>
              <w:t xml:space="preserve">teatrets selvevaluering, årsrapporter, presseklip </w:t>
            </w:r>
            <w:r>
              <w:rPr>
                <w:iCs/>
                <w:color w:val="000000"/>
                <w:sz w:val="18"/>
                <w:szCs w:val="18"/>
              </w:rPr>
              <w:t>mv.</w:t>
            </w:r>
          </w:p>
          <w:p w14:paraId="42F13341" w14:textId="77777777" w:rsidR="00DB4695" w:rsidRPr="00767AD5" w:rsidRDefault="00604383" w:rsidP="00767AD5">
            <w:pPr>
              <w:pStyle w:val="Listeafsnit"/>
              <w:numPr>
                <w:ilvl w:val="0"/>
                <w:numId w:val="12"/>
              </w:numPr>
              <w:spacing w:before="40" w:after="40"/>
              <w:rPr>
                <w:iCs/>
                <w:color w:val="000000"/>
                <w:sz w:val="18"/>
                <w:szCs w:val="18"/>
              </w:rPr>
            </w:pPr>
            <w:r>
              <w:rPr>
                <w:iCs/>
                <w:color w:val="000000"/>
                <w:sz w:val="18"/>
                <w:szCs w:val="18"/>
              </w:rPr>
              <w:t>Analyser af det kvantitative materiale, indsamlet og bearbejdet af Kulturstyrelsen</w:t>
            </w:r>
          </w:p>
        </w:tc>
      </w:tr>
      <w:tr w:rsidR="003D2868" w:rsidRPr="00FE2E30" w14:paraId="42A9D5B7" w14:textId="77777777" w:rsidTr="00617144">
        <w:tc>
          <w:tcPr>
            <w:tcW w:w="9778" w:type="dxa"/>
            <w:tcBorders>
              <w:top w:val="single" w:sz="4" w:space="0" w:color="403152" w:themeColor="accent3"/>
              <w:bottom w:val="single" w:sz="4" w:space="0" w:color="403152" w:themeColor="accent3"/>
            </w:tcBorders>
          </w:tcPr>
          <w:p w14:paraId="7C2F7506" w14:textId="77777777" w:rsidR="003D2868" w:rsidRPr="00FE2E30" w:rsidRDefault="003D2868" w:rsidP="00CB074D">
            <w:pPr>
              <w:spacing w:before="40" w:after="40"/>
              <w:rPr>
                <w:i/>
                <w:sz w:val="18"/>
                <w:szCs w:val="18"/>
              </w:rPr>
            </w:pPr>
            <w:r w:rsidRPr="00FE2E30">
              <w:rPr>
                <w:i/>
                <w:sz w:val="18"/>
                <w:szCs w:val="18"/>
              </w:rPr>
              <w:t>Interviews</w:t>
            </w:r>
          </w:p>
          <w:p w14:paraId="43A967E8" w14:textId="77777777" w:rsidR="003D2868" w:rsidRPr="00FE2E30" w:rsidRDefault="003D2868" w:rsidP="00CB074D">
            <w:pPr>
              <w:pStyle w:val="Listeafsnit"/>
              <w:numPr>
                <w:ilvl w:val="0"/>
                <w:numId w:val="12"/>
              </w:numPr>
              <w:spacing w:before="40" w:after="40"/>
              <w:rPr>
                <w:iCs/>
                <w:color w:val="000000"/>
                <w:sz w:val="18"/>
                <w:szCs w:val="18"/>
              </w:rPr>
            </w:pPr>
            <w:r w:rsidRPr="00FE2E30">
              <w:rPr>
                <w:iCs/>
                <w:color w:val="000000"/>
                <w:sz w:val="18"/>
                <w:szCs w:val="18"/>
              </w:rPr>
              <w:t xml:space="preserve">Interviews med </w:t>
            </w:r>
            <w:r w:rsidR="00767AD5">
              <w:rPr>
                <w:iCs/>
                <w:color w:val="000000"/>
                <w:sz w:val="18"/>
                <w:szCs w:val="18"/>
              </w:rPr>
              <w:t>teatrets leder, kunstneriske ledelse</w:t>
            </w:r>
            <w:r w:rsidR="00A4378A">
              <w:rPr>
                <w:iCs/>
                <w:color w:val="000000"/>
                <w:sz w:val="18"/>
                <w:szCs w:val="18"/>
              </w:rPr>
              <w:t xml:space="preserve"> </w:t>
            </w:r>
            <w:r w:rsidR="00363874">
              <w:rPr>
                <w:iCs/>
                <w:color w:val="000000"/>
                <w:sz w:val="18"/>
                <w:szCs w:val="18"/>
              </w:rPr>
              <w:t xml:space="preserve">og </w:t>
            </w:r>
            <w:r w:rsidRPr="00FE2E30">
              <w:rPr>
                <w:iCs/>
                <w:color w:val="000000"/>
                <w:sz w:val="18"/>
                <w:szCs w:val="18"/>
              </w:rPr>
              <w:t>bestyrelsesformand</w:t>
            </w:r>
            <w:r w:rsidR="00A4378A">
              <w:rPr>
                <w:iCs/>
                <w:color w:val="000000"/>
                <w:sz w:val="18"/>
                <w:szCs w:val="18"/>
              </w:rPr>
              <w:t xml:space="preserve"> </w:t>
            </w:r>
          </w:p>
          <w:p w14:paraId="55040B84" w14:textId="77777777" w:rsidR="003D2868" w:rsidRPr="00FE2E30" w:rsidRDefault="003D2868" w:rsidP="00CB074D">
            <w:pPr>
              <w:pStyle w:val="Listeafsnit"/>
              <w:numPr>
                <w:ilvl w:val="0"/>
                <w:numId w:val="12"/>
              </w:numPr>
              <w:spacing w:before="40" w:after="40"/>
              <w:rPr>
                <w:iCs/>
                <w:color w:val="000000"/>
                <w:sz w:val="18"/>
                <w:szCs w:val="18"/>
              </w:rPr>
            </w:pPr>
            <w:r w:rsidRPr="00FE2E30">
              <w:rPr>
                <w:iCs/>
                <w:color w:val="000000"/>
                <w:sz w:val="18"/>
                <w:szCs w:val="18"/>
              </w:rPr>
              <w:t xml:space="preserve">Interviews med </w:t>
            </w:r>
            <w:r w:rsidR="00767AD5">
              <w:rPr>
                <w:iCs/>
                <w:color w:val="000000"/>
                <w:sz w:val="18"/>
                <w:szCs w:val="18"/>
              </w:rPr>
              <w:t xml:space="preserve">Holstebro </w:t>
            </w:r>
            <w:r w:rsidRPr="00FE2E30">
              <w:rPr>
                <w:iCs/>
                <w:color w:val="000000"/>
                <w:sz w:val="18"/>
                <w:szCs w:val="18"/>
              </w:rPr>
              <w:t>Kommunes kulturudvalgsformand</w:t>
            </w:r>
            <w:r w:rsidR="00900E9E">
              <w:rPr>
                <w:iCs/>
                <w:color w:val="000000"/>
                <w:sz w:val="18"/>
                <w:szCs w:val="18"/>
              </w:rPr>
              <w:t xml:space="preserve"> og </w:t>
            </w:r>
            <w:r w:rsidRPr="00FE2E30">
              <w:rPr>
                <w:iCs/>
                <w:color w:val="000000"/>
                <w:sz w:val="18"/>
                <w:szCs w:val="18"/>
              </w:rPr>
              <w:t>kulturchef</w:t>
            </w:r>
          </w:p>
          <w:p w14:paraId="173AB7CC" w14:textId="77777777" w:rsidR="003D2868" w:rsidRPr="00FE2E30" w:rsidRDefault="003D2868" w:rsidP="00721408">
            <w:pPr>
              <w:pStyle w:val="Listeafsnit"/>
              <w:numPr>
                <w:ilvl w:val="0"/>
                <w:numId w:val="12"/>
              </w:numPr>
              <w:spacing w:before="40" w:after="40"/>
              <w:rPr>
                <w:iCs/>
                <w:color w:val="000000"/>
                <w:sz w:val="18"/>
                <w:szCs w:val="18"/>
              </w:rPr>
            </w:pPr>
            <w:r w:rsidRPr="00FE2E30">
              <w:rPr>
                <w:iCs/>
                <w:color w:val="000000"/>
                <w:sz w:val="18"/>
                <w:szCs w:val="18"/>
              </w:rPr>
              <w:t xml:space="preserve">Gruppeinterview med </w:t>
            </w:r>
            <w:r w:rsidR="00721408">
              <w:rPr>
                <w:iCs/>
                <w:color w:val="000000"/>
                <w:sz w:val="18"/>
                <w:szCs w:val="18"/>
              </w:rPr>
              <w:t xml:space="preserve">ledende </w:t>
            </w:r>
            <w:r w:rsidR="00A4378A">
              <w:rPr>
                <w:iCs/>
                <w:color w:val="000000"/>
                <w:sz w:val="18"/>
                <w:szCs w:val="18"/>
              </w:rPr>
              <w:t>repræsentanter for teatret, bestyrelse</w:t>
            </w:r>
            <w:r w:rsidR="00721408">
              <w:rPr>
                <w:iCs/>
                <w:color w:val="000000"/>
                <w:sz w:val="18"/>
                <w:szCs w:val="18"/>
              </w:rPr>
              <w:t>n</w:t>
            </w:r>
            <w:r w:rsidR="00A4378A">
              <w:rPr>
                <w:iCs/>
                <w:color w:val="000000"/>
                <w:sz w:val="18"/>
                <w:szCs w:val="18"/>
              </w:rPr>
              <w:t xml:space="preserve"> og de to k</w:t>
            </w:r>
            <w:r w:rsidRPr="00FE2E30">
              <w:rPr>
                <w:iCs/>
                <w:color w:val="000000"/>
                <w:sz w:val="18"/>
                <w:szCs w:val="18"/>
              </w:rPr>
              <w:t>ommune</w:t>
            </w:r>
            <w:r w:rsidR="000103A8">
              <w:rPr>
                <w:iCs/>
                <w:color w:val="000000"/>
                <w:sz w:val="18"/>
                <w:szCs w:val="18"/>
              </w:rPr>
              <w:t>r</w:t>
            </w:r>
          </w:p>
        </w:tc>
      </w:tr>
      <w:tr w:rsidR="003D2868" w:rsidRPr="00FE2E30" w14:paraId="27A587B6" w14:textId="77777777" w:rsidTr="00617144">
        <w:tc>
          <w:tcPr>
            <w:tcW w:w="9778" w:type="dxa"/>
            <w:tcBorders>
              <w:top w:val="single" w:sz="4" w:space="0" w:color="403152" w:themeColor="accent3"/>
              <w:bottom w:val="single" w:sz="4" w:space="0" w:color="403152" w:themeColor="accent3"/>
            </w:tcBorders>
          </w:tcPr>
          <w:p w14:paraId="0878A7B3" w14:textId="77777777" w:rsidR="003D2868" w:rsidRPr="00FE2E30" w:rsidRDefault="003D2868" w:rsidP="00CB074D">
            <w:pPr>
              <w:spacing w:before="40" w:after="40"/>
              <w:rPr>
                <w:i/>
                <w:sz w:val="18"/>
                <w:szCs w:val="18"/>
              </w:rPr>
            </w:pPr>
            <w:r w:rsidRPr="00FE2E30">
              <w:rPr>
                <w:i/>
                <w:sz w:val="18"/>
                <w:szCs w:val="18"/>
              </w:rPr>
              <w:t>Forestillinger og andre aktiviteter</w:t>
            </w:r>
          </w:p>
          <w:p w14:paraId="17C625D1" w14:textId="77777777" w:rsidR="000103A8" w:rsidRPr="00E52D0D" w:rsidRDefault="003D2868" w:rsidP="00E52D0D">
            <w:pPr>
              <w:pStyle w:val="Listeafsnit"/>
              <w:numPr>
                <w:ilvl w:val="0"/>
                <w:numId w:val="12"/>
              </w:numPr>
              <w:spacing w:before="40" w:after="40"/>
              <w:rPr>
                <w:iCs/>
                <w:color w:val="000000"/>
                <w:sz w:val="18"/>
                <w:szCs w:val="18"/>
              </w:rPr>
            </w:pPr>
            <w:r w:rsidRPr="00FE2E30">
              <w:rPr>
                <w:iCs/>
                <w:color w:val="000000"/>
                <w:sz w:val="18"/>
                <w:szCs w:val="18"/>
              </w:rPr>
              <w:t xml:space="preserve">Set </w:t>
            </w:r>
            <w:r w:rsidR="000103A8">
              <w:rPr>
                <w:iCs/>
                <w:color w:val="000000"/>
                <w:sz w:val="18"/>
                <w:szCs w:val="18"/>
              </w:rPr>
              <w:t xml:space="preserve">teatrets </w:t>
            </w:r>
            <w:r w:rsidRPr="00FE2E30">
              <w:rPr>
                <w:iCs/>
                <w:color w:val="000000"/>
                <w:sz w:val="18"/>
                <w:szCs w:val="18"/>
              </w:rPr>
              <w:t>egenproduktion</w:t>
            </w:r>
            <w:r w:rsidR="004B7921">
              <w:rPr>
                <w:iCs/>
                <w:color w:val="000000"/>
                <w:sz w:val="18"/>
                <w:szCs w:val="18"/>
              </w:rPr>
              <w:t>er fra Black Box Dance Company</w:t>
            </w:r>
            <w:r w:rsidR="00A049DB">
              <w:rPr>
                <w:iCs/>
                <w:color w:val="000000"/>
                <w:sz w:val="18"/>
                <w:szCs w:val="18"/>
              </w:rPr>
              <w:t xml:space="preserve"> </w:t>
            </w:r>
            <w:r w:rsidR="004B7921">
              <w:rPr>
                <w:iCs/>
                <w:color w:val="000000"/>
                <w:sz w:val="18"/>
                <w:szCs w:val="18"/>
              </w:rPr>
              <w:t xml:space="preserve">7even, 100 Likes og Carmina </w:t>
            </w:r>
            <w:proofErr w:type="spellStart"/>
            <w:r w:rsidR="004B7921">
              <w:rPr>
                <w:iCs/>
                <w:color w:val="000000"/>
                <w:sz w:val="18"/>
                <w:szCs w:val="18"/>
              </w:rPr>
              <w:t>Burana</w:t>
            </w:r>
            <w:proofErr w:type="spellEnd"/>
          </w:p>
        </w:tc>
      </w:tr>
      <w:tr w:rsidR="003D2868" w:rsidRPr="00FE2E30" w14:paraId="348FC01A" w14:textId="77777777" w:rsidTr="00617144">
        <w:tc>
          <w:tcPr>
            <w:tcW w:w="9778" w:type="dxa"/>
            <w:tcBorders>
              <w:top w:val="single" w:sz="4" w:space="0" w:color="403152" w:themeColor="accent3"/>
              <w:bottom w:val="single" w:sz="4" w:space="0" w:color="403152" w:themeColor="accent3"/>
            </w:tcBorders>
          </w:tcPr>
          <w:p w14:paraId="14542138" w14:textId="77777777" w:rsidR="003D2868" w:rsidRPr="00FE2E30" w:rsidRDefault="003D2868" w:rsidP="00CB074D">
            <w:pPr>
              <w:spacing w:before="40" w:after="40"/>
              <w:rPr>
                <w:i/>
                <w:sz w:val="18"/>
                <w:szCs w:val="18"/>
              </w:rPr>
            </w:pPr>
            <w:r w:rsidRPr="00FE2E30">
              <w:rPr>
                <w:i/>
                <w:sz w:val="18"/>
                <w:szCs w:val="18"/>
              </w:rPr>
              <w:t>Afrapportering</w:t>
            </w:r>
          </w:p>
          <w:p w14:paraId="7A8B1B7C" w14:textId="77777777" w:rsidR="003D2868" w:rsidRPr="00FE2E30" w:rsidRDefault="003D2868" w:rsidP="00CB074D">
            <w:pPr>
              <w:pStyle w:val="Listeafsnit"/>
              <w:numPr>
                <w:ilvl w:val="0"/>
                <w:numId w:val="14"/>
              </w:numPr>
              <w:spacing w:before="40" w:after="40"/>
              <w:rPr>
                <w:sz w:val="18"/>
                <w:szCs w:val="18"/>
              </w:rPr>
            </w:pPr>
            <w:r w:rsidRPr="00FE2E30">
              <w:rPr>
                <w:sz w:val="18"/>
                <w:szCs w:val="18"/>
              </w:rPr>
              <w:t>Udarbejde</w:t>
            </w:r>
            <w:r w:rsidR="00DB4695">
              <w:rPr>
                <w:sz w:val="18"/>
                <w:szCs w:val="18"/>
              </w:rPr>
              <w:t>t</w:t>
            </w:r>
            <w:r w:rsidRPr="00FE2E30">
              <w:rPr>
                <w:sz w:val="18"/>
                <w:szCs w:val="18"/>
              </w:rPr>
              <w:t xml:space="preserve"> nærværende rapport</w:t>
            </w:r>
          </w:p>
          <w:p w14:paraId="45AA6273" w14:textId="77777777" w:rsidR="003D2868" w:rsidRPr="00FE2E30" w:rsidRDefault="003D2868" w:rsidP="002026A8">
            <w:pPr>
              <w:pStyle w:val="Listeafsnit"/>
              <w:numPr>
                <w:ilvl w:val="0"/>
                <w:numId w:val="14"/>
              </w:numPr>
              <w:spacing w:before="40" w:after="40"/>
              <w:rPr>
                <w:sz w:val="18"/>
                <w:szCs w:val="18"/>
              </w:rPr>
            </w:pPr>
            <w:r w:rsidRPr="00FE2E30">
              <w:rPr>
                <w:sz w:val="18"/>
                <w:szCs w:val="18"/>
              </w:rPr>
              <w:t>Præsent</w:t>
            </w:r>
            <w:r w:rsidR="00DB4695">
              <w:rPr>
                <w:sz w:val="18"/>
                <w:szCs w:val="18"/>
              </w:rPr>
              <w:t>eret rapport</w:t>
            </w:r>
            <w:r w:rsidR="002026A8">
              <w:rPr>
                <w:sz w:val="18"/>
                <w:szCs w:val="18"/>
              </w:rPr>
              <w:t>en</w:t>
            </w:r>
            <w:r w:rsidR="00DB4695">
              <w:rPr>
                <w:sz w:val="18"/>
                <w:szCs w:val="18"/>
              </w:rPr>
              <w:t xml:space="preserve"> </w:t>
            </w:r>
            <w:r w:rsidRPr="00FE2E30">
              <w:rPr>
                <w:sz w:val="18"/>
                <w:szCs w:val="18"/>
              </w:rPr>
              <w:t>for Statens Kunstfonds Pro</w:t>
            </w:r>
            <w:r w:rsidR="00B8629E" w:rsidRPr="00FE2E30">
              <w:rPr>
                <w:sz w:val="18"/>
                <w:szCs w:val="18"/>
              </w:rPr>
              <w:t>jektstøtteudvalg for Scenekunst</w:t>
            </w:r>
          </w:p>
        </w:tc>
      </w:tr>
    </w:tbl>
    <w:p w14:paraId="09C9759F" w14:textId="77777777" w:rsidR="003D2868" w:rsidRDefault="003D2868" w:rsidP="003D2868"/>
    <w:p w14:paraId="10B215E1" w14:textId="77777777" w:rsidR="000D0E77" w:rsidRDefault="008A3596" w:rsidP="000D0E77">
      <w:pPr>
        <w:rPr>
          <w:rFonts w:cs="Arial"/>
          <w:szCs w:val="16"/>
        </w:rPr>
      </w:pPr>
      <w:r>
        <w:t>Det metodiske greb, der ligger til grund for at evaluere den kunstneriske aktivitet</w:t>
      </w:r>
      <w:r w:rsidR="00B8629E">
        <w:t>,</w:t>
      </w:r>
      <w:r>
        <w:t xml:space="preserve"> er </w:t>
      </w:r>
      <w:r w:rsidRPr="00976B5F">
        <w:rPr>
          <w:iCs/>
          <w:color w:val="000000"/>
        </w:rPr>
        <w:t>Ønskekvistmodellen.</w:t>
      </w:r>
      <w:r>
        <w:rPr>
          <w:iCs/>
          <w:color w:val="000000"/>
        </w:rPr>
        <w:t xml:space="preserve"> </w:t>
      </w:r>
      <w:r w:rsidRPr="002B470D">
        <w:rPr>
          <w:rFonts w:cs="Arial"/>
          <w:szCs w:val="16"/>
        </w:rPr>
        <w:t xml:space="preserve">Ønskekvistmodellen er udviklet af </w:t>
      </w:r>
      <w:r>
        <w:rPr>
          <w:rFonts w:cs="Arial"/>
          <w:szCs w:val="16"/>
        </w:rPr>
        <w:t>forskere fra Aarhus Universitet</w:t>
      </w:r>
      <w:r>
        <w:rPr>
          <w:rStyle w:val="Fodnotehenvisning"/>
          <w:rFonts w:cs="Arial"/>
          <w:szCs w:val="16"/>
        </w:rPr>
        <w:footnoteReference w:id="1"/>
      </w:r>
      <w:r>
        <w:rPr>
          <w:rFonts w:cs="Arial"/>
          <w:szCs w:val="16"/>
        </w:rPr>
        <w:t>. Den udgør e</w:t>
      </w:r>
      <w:r w:rsidR="00B8629E">
        <w:rPr>
          <w:rFonts w:cs="Arial"/>
          <w:szCs w:val="16"/>
        </w:rPr>
        <w:t>n enkel model for, hvordan man –</w:t>
      </w:r>
      <w:r>
        <w:rPr>
          <w:iCs/>
          <w:color w:val="000000"/>
        </w:rPr>
        <w:t xml:space="preserve"> på struktureret vis – kan diskutere og vurdere kvalitet i den performative kunst. Ønskekvistmodellen </w:t>
      </w:r>
      <w:r w:rsidRPr="00976B5F">
        <w:rPr>
          <w:iCs/>
          <w:color w:val="000000"/>
        </w:rPr>
        <w:t xml:space="preserve">skitserer kunstnerisk kvalitet som en kombination af </w:t>
      </w:r>
      <w:proofErr w:type="spellStart"/>
      <w:r w:rsidRPr="00976B5F">
        <w:rPr>
          <w:iCs/>
          <w:color w:val="000000"/>
        </w:rPr>
        <w:t>Villen</w:t>
      </w:r>
      <w:proofErr w:type="spellEnd"/>
      <w:r w:rsidRPr="00976B5F">
        <w:rPr>
          <w:iCs/>
          <w:color w:val="000000"/>
        </w:rPr>
        <w:t xml:space="preserve">, Kunnen og </w:t>
      </w:r>
      <w:proofErr w:type="spellStart"/>
      <w:r w:rsidRPr="00976B5F">
        <w:rPr>
          <w:iCs/>
          <w:color w:val="000000"/>
        </w:rPr>
        <w:t>Skullen</w:t>
      </w:r>
      <w:proofErr w:type="spellEnd"/>
      <w:r w:rsidRPr="00976B5F">
        <w:rPr>
          <w:iCs/>
          <w:color w:val="000000"/>
        </w:rPr>
        <w:t>, forstået som Engagement, Evner og Nødvendighed</w:t>
      </w:r>
      <w:r>
        <w:rPr>
          <w:rFonts w:cs="Arial"/>
          <w:szCs w:val="16"/>
        </w:rPr>
        <w:t>.</w:t>
      </w:r>
    </w:p>
    <w:p w14:paraId="1AFE064C" w14:textId="77777777" w:rsidR="00D130B6" w:rsidRDefault="00D130B6" w:rsidP="000D0E77">
      <w:pPr>
        <w:rPr>
          <w:rFonts w:cs="Arial"/>
          <w:szCs w:val="16"/>
        </w:rPr>
      </w:pPr>
    </w:p>
    <w:p w14:paraId="1E4455DF" w14:textId="77777777" w:rsidR="00CC5A94" w:rsidRPr="00134BCE" w:rsidRDefault="00D130B6" w:rsidP="00CC5A94">
      <w:pPr>
        <w:pStyle w:val="Overskrift1"/>
        <w:numPr>
          <w:ilvl w:val="0"/>
          <w:numId w:val="0"/>
        </w:numPr>
      </w:pPr>
      <w:r>
        <w:br w:type="page"/>
      </w:r>
      <w:bookmarkStart w:id="15" w:name="_Toc417466396"/>
      <w:bookmarkStart w:id="16" w:name="_Toc418078171"/>
      <w:bookmarkStart w:id="17" w:name="_Toc420526650"/>
      <w:bookmarkStart w:id="18" w:name="_Toc422131334"/>
      <w:bookmarkStart w:id="19" w:name="_Toc436729547"/>
      <w:bookmarkStart w:id="20" w:name="_Toc484674632"/>
      <w:r w:rsidR="00CC5A94" w:rsidRPr="00134BCE">
        <w:t>Bilag 1: Alle egnsteatres samlede omsætning i 2015</w:t>
      </w:r>
      <w:bookmarkEnd w:id="15"/>
      <w:bookmarkEnd w:id="16"/>
      <w:bookmarkEnd w:id="17"/>
      <w:bookmarkEnd w:id="18"/>
      <w:bookmarkEnd w:id="19"/>
      <w:bookmarkEnd w:id="20"/>
    </w:p>
    <w:p w14:paraId="3E9F11B2" w14:textId="77777777" w:rsidR="00CC5A94" w:rsidRPr="00134BCE" w:rsidRDefault="00CC5A94" w:rsidP="00CC5A94">
      <w:r w:rsidRPr="00134BCE">
        <w:t xml:space="preserve">Figur udarbejdet på baggrund af tal fra godkendte regnskaber for 2015. </w:t>
      </w:r>
    </w:p>
    <w:p w14:paraId="7776B0A7" w14:textId="77777777" w:rsidR="00CC5A94" w:rsidRPr="00134BCE" w:rsidRDefault="00CC5A94" w:rsidP="00CC5A94">
      <w:r w:rsidRPr="00134BCE">
        <w:t>For teatre mærket med * e</w:t>
      </w:r>
      <w:r>
        <w:t>r tal fra regnskaber i perioden 1/7 2014 til 31/</w:t>
      </w:r>
      <w:r w:rsidRPr="00134BCE">
        <w:t>6 2015.</w:t>
      </w:r>
    </w:p>
    <w:p w14:paraId="1F63F274" w14:textId="77777777" w:rsidR="00CC5A94" w:rsidRPr="00134BCE" w:rsidRDefault="00CC5A94" w:rsidP="00CC5A94"/>
    <w:p w14:paraId="58590250" w14:textId="77777777" w:rsidR="00CC5A94" w:rsidRDefault="00CC5A94" w:rsidP="00CC5A94">
      <w:pPr>
        <w:spacing w:after="200" w:line="276" w:lineRule="auto"/>
      </w:pPr>
      <w:r>
        <w:rPr>
          <w:noProof/>
          <w:lang w:eastAsia="da-DK"/>
        </w:rPr>
        <w:drawing>
          <wp:inline distT="0" distB="0" distL="0" distR="0" wp14:anchorId="7CD618B8" wp14:editId="3C7F4F3E">
            <wp:extent cx="6480000" cy="3001713"/>
            <wp:effectExtent l="19050" t="19050" r="16510" b="273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739" t="1813" r="14663" b="1823"/>
                    <a:stretch/>
                  </pic:blipFill>
                  <pic:spPr bwMode="auto">
                    <a:xfrm>
                      <a:off x="0" y="0"/>
                      <a:ext cx="6480000" cy="3001713"/>
                    </a:xfrm>
                    <a:prstGeom prst="rect">
                      <a:avLst/>
                    </a:prstGeom>
                    <a:noFill/>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9BA9D6A" w14:textId="77777777" w:rsidR="00CC5A94" w:rsidRDefault="00CC5A94" w:rsidP="00CC5A94">
      <w:pPr>
        <w:spacing w:after="200" w:line="276" w:lineRule="auto"/>
      </w:pPr>
    </w:p>
    <w:p w14:paraId="3735C9FE" w14:textId="77777777" w:rsidR="00CC5A94" w:rsidRDefault="00CC5A94" w:rsidP="00CC5A94">
      <w:pPr>
        <w:spacing w:after="200" w:line="276" w:lineRule="auto"/>
      </w:pPr>
      <w:r>
        <w:br w:type="page"/>
      </w:r>
    </w:p>
    <w:p w14:paraId="2592F0FD" w14:textId="77777777" w:rsidR="00CC5A94" w:rsidRPr="00134BCE" w:rsidRDefault="00CC5A94" w:rsidP="00CC5A94">
      <w:pPr>
        <w:pStyle w:val="Overskrift1"/>
        <w:numPr>
          <w:ilvl w:val="0"/>
          <w:numId w:val="0"/>
        </w:numPr>
      </w:pPr>
      <w:bookmarkStart w:id="21" w:name="_Toc484674633"/>
      <w:r w:rsidRPr="00134BCE">
        <w:t xml:space="preserve">Bilag 2: Egnsteatres omsætning – 2015, </w:t>
      </w:r>
      <w:r w:rsidRPr="00134BCE">
        <w:br/>
        <w:t>offentligt driftstilskud og øvrige indtægter</w:t>
      </w:r>
      <w:bookmarkEnd w:id="21"/>
    </w:p>
    <w:p w14:paraId="1133D9FA" w14:textId="77777777" w:rsidR="00CC5A94" w:rsidRPr="00134BCE" w:rsidRDefault="00CC5A94" w:rsidP="00CC5A94">
      <w:r w:rsidRPr="00134BCE">
        <w:t xml:space="preserve">Figur udarbejdet på baggrund af tal fra godkendte regnskaber for 2015. </w:t>
      </w:r>
    </w:p>
    <w:p w14:paraId="0D3E0AEA" w14:textId="77777777" w:rsidR="00CC5A94" w:rsidRDefault="00CC5A94" w:rsidP="00CC5A94">
      <w:pPr>
        <w:rPr>
          <w:noProof/>
          <w:lang w:eastAsia="da-DK"/>
        </w:rPr>
      </w:pPr>
      <w:r w:rsidRPr="00134BCE">
        <w:t>For teatre mærket med * e</w:t>
      </w:r>
      <w:r>
        <w:t>r tal fra regnskaber i perioden 1/7 2014 til 31/</w:t>
      </w:r>
      <w:r w:rsidRPr="00134BCE">
        <w:t>6 2015.</w:t>
      </w:r>
      <w:r w:rsidRPr="00134BCE">
        <w:rPr>
          <w:noProof/>
          <w:lang w:eastAsia="da-DK"/>
        </w:rPr>
        <w:t xml:space="preserve"> </w:t>
      </w:r>
    </w:p>
    <w:p w14:paraId="2035643D" w14:textId="77777777" w:rsidR="00CC5A94" w:rsidRDefault="00CC5A94" w:rsidP="00CC5A94">
      <w:pPr>
        <w:rPr>
          <w:noProof/>
          <w:lang w:eastAsia="da-DK"/>
        </w:rPr>
      </w:pPr>
    </w:p>
    <w:p w14:paraId="3B533899" w14:textId="77777777" w:rsidR="00CC5A94" w:rsidRPr="00134BCE" w:rsidRDefault="00CC5A94" w:rsidP="00CC5A94">
      <w:r>
        <w:rPr>
          <w:noProof/>
          <w:lang w:eastAsia="da-DK"/>
        </w:rPr>
        <w:drawing>
          <wp:inline distT="0" distB="0" distL="0" distR="0" wp14:anchorId="7B0FD5DC" wp14:editId="298C5F0C">
            <wp:extent cx="6480000" cy="3312169"/>
            <wp:effectExtent l="19050" t="19050" r="16510" b="215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370" t="1106" r="8783" b="2434"/>
                    <a:stretch/>
                  </pic:blipFill>
                  <pic:spPr bwMode="auto">
                    <a:xfrm>
                      <a:off x="0" y="0"/>
                      <a:ext cx="6480000" cy="3312169"/>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02AF2784" w14:textId="77777777" w:rsidR="00CC5A94" w:rsidRPr="00A444BE" w:rsidRDefault="00CC5A94" w:rsidP="00CC5A94">
      <w:pPr>
        <w:spacing w:after="200" w:line="276" w:lineRule="auto"/>
      </w:pPr>
    </w:p>
    <w:p w14:paraId="148BB5F1" w14:textId="77777777" w:rsidR="00D130B6" w:rsidRDefault="00D130B6">
      <w:pPr>
        <w:spacing w:after="200" w:line="276" w:lineRule="auto"/>
      </w:pPr>
    </w:p>
    <w:sectPr w:rsidR="00D130B6" w:rsidSect="0066162B">
      <w:footerReference w:type="default" r:id="rId19"/>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4BF9" w14:textId="77777777" w:rsidR="00ED3C4C" w:rsidRDefault="00ED3C4C" w:rsidP="00B33FF2">
      <w:pPr>
        <w:spacing w:line="240" w:lineRule="auto"/>
      </w:pPr>
      <w:r>
        <w:separator/>
      </w:r>
    </w:p>
  </w:endnote>
  <w:endnote w:type="continuationSeparator" w:id="0">
    <w:p w14:paraId="61F43A6A" w14:textId="77777777" w:rsidR="00ED3C4C" w:rsidRDefault="00ED3C4C" w:rsidP="00B33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8">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7217" w14:textId="77777777" w:rsidR="00395C3E" w:rsidRDefault="00395C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4C9E" w14:textId="77777777" w:rsidR="00395C3E" w:rsidRDefault="00395C3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E54D" w14:textId="77777777" w:rsidR="00395C3E" w:rsidRDefault="00395C3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67D5" w14:textId="77777777" w:rsidR="00395C3E" w:rsidRPr="00351621" w:rsidRDefault="00395C3E" w:rsidP="0035162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28056276"/>
      <w:docPartObj>
        <w:docPartGallery w:val="Page Numbers (Bottom of Page)"/>
        <w:docPartUnique/>
      </w:docPartObj>
    </w:sdtPr>
    <w:sdtEndPr>
      <w:rPr>
        <w:noProof/>
        <w:color w:val="403152" w:themeColor="accent3"/>
        <w:sz w:val="28"/>
        <w:szCs w:val="28"/>
      </w:rPr>
    </w:sdtEndPr>
    <w:sdtContent>
      <w:p w14:paraId="41D268CE" w14:textId="77777777" w:rsidR="00395C3E" w:rsidRPr="00165B3E" w:rsidRDefault="00395C3E">
        <w:pPr>
          <w:pStyle w:val="Sidefod"/>
          <w:rPr>
            <w:color w:val="000000" w:themeColor="text1"/>
            <w:u w:val="single"/>
          </w:rPr>
        </w:pPr>
        <w:r w:rsidRPr="00165B3E">
          <w:rPr>
            <w:color w:val="000000" w:themeColor="text1"/>
            <w:u w:val="single"/>
          </w:rPr>
          <w:tab/>
        </w:r>
        <w:r w:rsidRPr="00165B3E">
          <w:rPr>
            <w:color w:val="000000" w:themeColor="text1"/>
            <w:u w:val="single"/>
          </w:rPr>
          <w:tab/>
        </w:r>
      </w:p>
      <w:p w14:paraId="400B7C41" w14:textId="77777777" w:rsidR="00395C3E" w:rsidRPr="00B33FF2" w:rsidRDefault="00395C3E" w:rsidP="00B33FF2">
        <w:pPr>
          <w:pStyle w:val="Sidefod"/>
          <w:spacing w:before="120"/>
          <w:rPr>
            <w:i/>
            <w:sz w:val="20"/>
            <w:szCs w:val="20"/>
          </w:rPr>
        </w:pPr>
        <w:r>
          <w:rPr>
            <w:i/>
            <w:sz w:val="20"/>
            <w:szCs w:val="20"/>
          </w:rPr>
          <w:t>Evaluering af Egnsteatre i Danmark – Black Box Theatre</w:t>
        </w:r>
        <w:r w:rsidRPr="00B33FF2">
          <w:rPr>
            <w:i/>
            <w:sz w:val="20"/>
            <w:szCs w:val="20"/>
          </w:rPr>
          <w:tab/>
        </w:r>
        <w:r w:rsidRPr="00B33FF2">
          <w:rPr>
            <w:i/>
            <w:sz w:val="20"/>
            <w:szCs w:val="20"/>
          </w:rPr>
          <w:tab/>
        </w:r>
        <w:r w:rsidRPr="00B33FF2">
          <w:rPr>
            <w:sz w:val="20"/>
            <w:szCs w:val="20"/>
          </w:rPr>
          <w:t>Side</w:t>
        </w:r>
        <w:r w:rsidRPr="00B33FF2">
          <w:rPr>
            <w:i/>
            <w:sz w:val="20"/>
            <w:szCs w:val="20"/>
          </w:rPr>
          <w:t xml:space="preserve"> </w:t>
        </w:r>
        <w:r w:rsidRPr="003035E4">
          <w:rPr>
            <w:color w:val="403152" w:themeColor="accent3"/>
            <w:sz w:val="28"/>
            <w:szCs w:val="28"/>
          </w:rPr>
          <w:fldChar w:fldCharType="begin"/>
        </w:r>
        <w:r w:rsidRPr="003035E4">
          <w:rPr>
            <w:color w:val="403152" w:themeColor="accent3"/>
            <w:sz w:val="28"/>
            <w:szCs w:val="28"/>
          </w:rPr>
          <w:instrText xml:space="preserve"> PAGE   \* MERGEFORMAT </w:instrText>
        </w:r>
        <w:r w:rsidRPr="003035E4">
          <w:rPr>
            <w:color w:val="403152" w:themeColor="accent3"/>
            <w:sz w:val="28"/>
            <w:szCs w:val="28"/>
          </w:rPr>
          <w:fldChar w:fldCharType="separate"/>
        </w:r>
        <w:r w:rsidR="006648E7">
          <w:rPr>
            <w:noProof/>
            <w:color w:val="403152" w:themeColor="accent3"/>
            <w:sz w:val="28"/>
            <w:szCs w:val="28"/>
          </w:rPr>
          <w:t>16</w:t>
        </w:r>
        <w:r w:rsidRPr="003035E4">
          <w:rPr>
            <w:noProof/>
            <w:color w:val="403152" w:themeColor="accent3"/>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083C" w14:textId="77777777" w:rsidR="00ED3C4C" w:rsidRDefault="00ED3C4C" w:rsidP="00B33FF2">
      <w:pPr>
        <w:spacing w:line="240" w:lineRule="auto"/>
      </w:pPr>
      <w:r>
        <w:separator/>
      </w:r>
    </w:p>
  </w:footnote>
  <w:footnote w:type="continuationSeparator" w:id="0">
    <w:p w14:paraId="22058D07" w14:textId="77777777" w:rsidR="00ED3C4C" w:rsidRDefault="00ED3C4C" w:rsidP="00B33FF2">
      <w:pPr>
        <w:spacing w:line="240" w:lineRule="auto"/>
      </w:pPr>
      <w:r>
        <w:continuationSeparator/>
      </w:r>
    </w:p>
  </w:footnote>
  <w:footnote w:id="1">
    <w:p w14:paraId="7AEE6B03" w14:textId="77777777" w:rsidR="00395C3E" w:rsidRPr="00B8629E" w:rsidRDefault="00395C3E" w:rsidP="008A3596">
      <w:pPr>
        <w:pStyle w:val="Fodnotetekst"/>
        <w:rPr>
          <w:sz w:val="16"/>
          <w:szCs w:val="16"/>
        </w:rPr>
      </w:pPr>
      <w:r w:rsidRPr="005972A6">
        <w:rPr>
          <w:rStyle w:val="Fodnotehenvisning"/>
          <w:sz w:val="16"/>
          <w:szCs w:val="16"/>
        </w:rPr>
        <w:footnoteRef/>
      </w:r>
      <w:r w:rsidRPr="005972A6">
        <w:rPr>
          <w:sz w:val="16"/>
          <w:szCs w:val="16"/>
        </w:rPr>
        <w:t xml:space="preserve"> Ønskekvistmodellen: Kunstnerisk kvalitet i performativ kunst, Klim 2003</w:t>
      </w:r>
      <w:r>
        <w:rPr>
          <w:sz w:val="16"/>
          <w:szCs w:val="16"/>
        </w:rPr>
        <w:t xml:space="preserve"> samt </w:t>
      </w:r>
      <w:r w:rsidRPr="005972A6">
        <w:rPr>
          <w:sz w:val="16"/>
          <w:szCs w:val="16"/>
        </w:rPr>
        <w:t>Ønskekvisten: En håndbog i evaluering af teater, dans og musik, Klim 2005</w:t>
      </w:r>
      <w:r>
        <w:rPr>
          <w:sz w:val="16"/>
          <w:szCs w:val="16"/>
        </w:rPr>
        <w:t xml:space="preserve">, begge </w:t>
      </w:r>
      <w:r w:rsidRPr="005972A6">
        <w:rPr>
          <w:sz w:val="16"/>
          <w:szCs w:val="16"/>
        </w:rPr>
        <w:t>Jørn Langsted, Karen Hannah og Charlotte Rø</w:t>
      </w:r>
      <w:r>
        <w:rPr>
          <w:sz w:val="16"/>
          <w:szCs w:val="16"/>
        </w:rPr>
        <w:t>rdam Larsen, Aarhus Universitet.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923C" w14:textId="77777777" w:rsidR="00395C3E" w:rsidRDefault="00395C3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2DA9" w14:textId="77777777" w:rsidR="00395C3E" w:rsidRDefault="00395C3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A52" w14:textId="77777777" w:rsidR="00395C3E" w:rsidRDefault="00395C3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6A36" w14:textId="77777777" w:rsidR="00395C3E" w:rsidRDefault="00395C3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952"/>
    <w:multiLevelType w:val="hybridMultilevel"/>
    <w:tmpl w:val="AD32D724"/>
    <w:lvl w:ilvl="0" w:tplc="04060001">
      <w:start w:val="1"/>
      <w:numFmt w:val="bullet"/>
      <w:lvlText w:val=""/>
      <w:lvlJc w:val="left"/>
      <w:pPr>
        <w:ind w:left="720" w:hanging="360"/>
      </w:pPr>
      <w:rPr>
        <w:rFonts w:ascii="Symbol" w:hAnsi="Symbol" w:hint="default"/>
      </w:rPr>
    </w:lvl>
    <w:lvl w:ilvl="1" w:tplc="FEB2BFE0">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8D30E2"/>
    <w:multiLevelType w:val="hybridMultilevel"/>
    <w:tmpl w:val="1D3A9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A5C9A"/>
    <w:multiLevelType w:val="hybridMultilevel"/>
    <w:tmpl w:val="82767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EC2261"/>
    <w:multiLevelType w:val="hybridMultilevel"/>
    <w:tmpl w:val="369E9C24"/>
    <w:lvl w:ilvl="0" w:tplc="F0E061DE">
      <w:start w:val="1"/>
      <w:numFmt w:val="bullet"/>
      <w:lvlText w:val=""/>
      <w:lvlJc w:val="left"/>
      <w:pPr>
        <w:ind w:left="720" w:hanging="360"/>
      </w:pPr>
      <w:rPr>
        <w:rFonts w:ascii="Symbol" w:hAnsi="Symbol" w:hint="default"/>
        <w:color w:val="7D408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FC705D"/>
    <w:multiLevelType w:val="hybridMultilevel"/>
    <w:tmpl w:val="DD161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523F0F"/>
    <w:multiLevelType w:val="hybridMultilevel"/>
    <w:tmpl w:val="AD1EF05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67E"/>
    <w:multiLevelType w:val="hybridMultilevel"/>
    <w:tmpl w:val="AC34B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5978B7"/>
    <w:multiLevelType w:val="hybridMultilevel"/>
    <w:tmpl w:val="37AAFE84"/>
    <w:lvl w:ilvl="0" w:tplc="EAB259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1754FB"/>
    <w:multiLevelType w:val="hybridMultilevel"/>
    <w:tmpl w:val="E08053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A234C46"/>
    <w:multiLevelType w:val="hybridMultilevel"/>
    <w:tmpl w:val="0616DC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9A4B07"/>
    <w:multiLevelType w:val="hybridMultilevel"/>
    <w:tmpl w:val="4DCE3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B17CD5"/>
    <w:multiLevelType w:val="hybridMultilevel"/>
    <w:tmpl w:val="8D0A25E8"/>
    <w:lvl w:ilvl="0" w:tplc="EF542168">
      <w:start w:val="1"/>
      <w:numFmt w:val="bullet"/>
      <w:lvlText w:val=""/>
      <w:lvlJc w:val="left"/>
      <w:pPr>
        <w:ind w:left="720" w:hanging="360"/>
      </w:pPr>
      <w:rPr>
        <w:rFonts w:ascii="Wingdings" w:hAnsi="Wingdings" w:hint="default"/>
        <w:color w:val="244061" w:themeColor="accent1" w:themeShade="8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3A6F32"/>
    <w:multiLevelType w:val="hybridMultilevel"/>
    <w:tmpl w:val="63DC7A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0DB63E7"/>
    <w:multiLevelType w:val="hybridMultilevel"/>
    <w:tmpl w:val="D87EF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5526A2"/>
    <w:multiLevelType w:val="hybridMultilevel"/>
    <w:tmpl w:val="C150B0A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4D114C"/>
    <w:multiLevelType w:val="hybridMultilevel"/>
    <w:tmpl w:val="121C354C"/>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67049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A65B0"/>
    <w:multiLevelType w:val="hybridMultilevel"/>
    <w:tmpl w:val="B7B2AEEC"/>
    <w:lvl w:ilvl="0" w:tplc="EF542168">
      <w:start w:val="1"/>
      <w:numFmt w:val="bullet"/>
      <w:lvlText w:val=""/>
      <w:lvlJc w:val="left"/>
      <w:pPr>
        <w:ind w:left="720" w:hanging="360"/>
      </w:pPr>
      <w:rPr>
        <w:rFonts w:ascii="Wingdings" w:hAnsi="Wingdings" w:hint="default"/>
        <w:color w:val="244061" w:themeColor="accent1" w:themeShade="8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7807FF"/>
    <w:multiLevelType w:val="hybridMultilevel"/>
    <w:tmpl w:val="09684B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1F01C96"/>
    <w:multiLevelType w:val="hybridMultilevel"/>
    <w:tmpl w:val="DE029EF0"/>
    <w:lvl w:ilvl="0" w:tplc="F0E061DE">
      <w:start w:val="1"/>
      <w:numFmt w:val="bullet"/>
      <w:lvlText w:val=""/>
      <w:lvlJc w:val="left"/>
      <w:pPr>
        <w:ind w:left="720" w:hanging="360"/>
      </w:pPr>
      <w:rPr>
        <w:rFonts w:ascii="Symbol" w:hAnsi="Symbol" w:hint="default"/>
        <w:color w:val="7D408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621A5B"/>
    <w:multiLevelType w:val="hybridMultilevel"/>
    <w:tmpl w:val="940044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186117E"/>
    <w:multiLevelType w:val="hybridMultilevel"/>
    <w:tmpl w:val="F15C1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932A27"/>
    <w:multiLevelType w:val="hybridMultilevel"/>
    <w:tmpl w:val="BBC8A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CB17B3"/>
    <w:multiLevelType w:val="multilevel"/>
    <w:tmpl w:val="04060025"/>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70913846"/>
    <w:multiLevelType w:val="hybridMultilevel"/>
    <w:tmpl w:val="0EDC8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47D2F2D"/>
    <w:multiLevelType w:val="hybridMultilevel"/>
    <w:tmpl w:val="41D85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9A331F9"/>
    <w:multiLevelType w:val="hybridMultilevel"/>
    <w:tmpl w:val="940044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D161088"/>
    <w:multiLevelType w:val="multilevel"/>
    <w:tmpl w:val="ECD678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FA3B7E"/>
    <w:multiLevelType w:val="hybridMultilevel"/>
    <w:tmpl w:val="63DC7A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F7C7F8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7"/>
  </w:num>
  <w:num w:numId="3">
    <w:abstractNumId w:val="29"/>
  </w:num>
  <w:num w:numId="4">
    <w:abstractNumId w:val="16"/>
  </w:num>
  <w:num w:numId="5">
    <w:abstractNumId w:val="25"/>
  </w:num>
  <w:num w:numId="6">
    <w:abstractNumId w:val="23"/>
  </w:num>
  <w:num w:numId="7">
    <w:abstractNumId w:val="0"/>
  </w:num>
  <w:num w:numId="8">
    <w:abstractNumId w:val="13"/>
  </w:num>
  <w:num w:numId="9">
    <w:abstractNumId w:val="26"/>
  </w:num>
  <w:num w:numId="10">
    <w:abstractNumId w:val="20"/>
  </w:num>
  <w:num w:numId="11">
    <w:abstractNumId w:val="8"/>
  </w:num>
  <w:num w:numId="12">
    <w:abstractNumId w:val="24"/>
  </w:num>
  <w:num w:numId="13">
    <w:abstractNumId w:val="1"/>
  </w:num>
  <w:num w:numId="14">
    <w:abstractNumId w:val="10"/>
  </w:num>
  <w:num w:numId="15">
    <w:abstractNumId w:val="14"/>
  </w:num>
  <w:num w:numId="16">
    <w:abstractNumId w:val="22"/>
  </w:num>
  <w:num w:numId="17">
    <w:abstractNumId w:val="18"/>
  </w:num>
  <w:num w:numId="18">
    <w:abstractNumId w:val="6"/>
  </w:num>
  <w:num w:numId="19">
    <w:abstractNumId w:val="3"/>
  </w:num>
  <w:num w:numId="20">
    <w:abstractNumId w:val="19"/>
  </w:num>
  <w:num w:numId="21">
    <w:abstractNumId w:val="17"/>
  </w:num>
  <w:num w:numId="22">
    <w:abstractNumId w:val="11"/>
  </w:num>
  <w:num w:numId="23">
    <w:abstractNumId w:val="2"/>
  </w:num>
  <w:num w:numId="24">
    <w:abstractNumId w:val="21"/>
  </w:num>
  <w:num w:numId="25">
    <w:abstractNumId w:val="4"/>
  </w:num>
  <w:num w:numId="26">
    <w:abstractNumId w:val="5"/>
  </w:num>
  <w:num w:numId="27">
    <w:abstractNumId w:val="12"/>
  </w:num>
  <w:num w:numId="28">
    <w:abstractNumId w:val="7"/>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FD"/>
    <w:rsid w:val="000006E2"/>
    <w:rsid w:val="00001D6A"/>
    <w:rsid w:val="00001DD2"/>
    <w:rsid w:val="000025F5"/>
    <w:rsid w:val="00002654"/>
    <w:rsid w:val="00003B8F"/>
    <w:rsid w:val="000079B6"/>
    <w:rsid w:val="000101AD"/>
    <w:rsid w:val="000103A8"/>
    <w:rsid w:val="00014169"/>
    <w:rsid w:val="000143E6"/>
    <w:rsid w:val="00014912"/>
    <w:rsid w:val="000149AA"/>
    <w:rsid w:val="00015FE8"/>
    <w:rsid w:val="00023497"/>
    <w:rsid w:val="0002358C"/>
    <w:rsid w:val="00023CD2"/>
    <w:rsid w:val="00023E45"/>
    <w:rsid w:val="00024D73"/>
    <w:rsid w:val="00024E08"/>
    <w:rsid w:val="000276A9"/>
    <w:rsid w:val="00030B1D"/>
    <w:rsid w:val="000316F4"/>
    <w:rsid w:val="00031BF6"/>
    <w:rsid w:val="00032B26"/>
    <w:rsid w:val="000341AF"/>
    <w:rsid w:val="000341CC"/>
    <w:rsid w:val="0003471E"/>
    <w:rsid w:val="000362A6"/>
    <w:rsid w:val="000366B1"/>
    <w:rsid w:val="00037A6B"/>
    <w:rsid w:val="00037D35"/>
    <w:rsid w:val="00040E07"/>
    <w:rsid w:val="00041BB3"/>
    <w:rsid w:val="00041EB3"/>
    <w:rsid w:val="0004311C"/>
    <w:rsid w:val="00043782"/>
    <w:rsid w:val="00044467"/>
    <w:rsid w:val="00046752"/>
    <w:rsid w:val="00047409"/>
    <w:rsid w:val="00054798"/>
    <w:rsid w:val="0005674E"/>
    <w:rsid w:val="00057983"/>
    <w:rsid w:val="00062561"/>
    <w:rsid w:val="00063327"/>
    <w:rsid w:val="0006387F"/>
    <w:rsid w:val="00064683"/>
    <w:rsid w:val="00064976"/>
    <w:rsid w:val="00065AAD"/>
    <w:rsid w:val="0006725D"/>
    <w:rsid w:val="00067770"/>
    <w:rsid w:val="000704BB"/>
    <w:rsid w:val="000725B0"/>
    <w:rsid w:val="00073EA5"/>
    <w:rsid w:val="00074947"/>
    <w:rsid w:val="00075B14"/>
    <w:rsid w:val="00081C1C"/>
    <w:rsid w:val="00087B08"/>
    <w:rsid w:val="00090A8D"/>
    <w:rsid w:val="00091468"/>
    <w:rsid w:val="00091862"/>
    <w:rsid w:val="00091AA2"/>
    <w:rsid w:val="00093CB0"/>
    <w:rsid w:val="000963CA"/>
    <w:rsid w:val="000A04D5"/>
    <w:rsid w:val="000A07EC"/>
    <w:rsid w:val="000A1956"/>
    <w:rsid w:val="000A72E2"/>
    <w:rsid w:val="000A7B3C"/>
    <w:rsid w:val="000B0AEF"/>
    <w:rsid w:val="000B1DCB"/>
    <w:rsid w:val="000B78F6"/>
    <w:rsid w:val="000D0E77"/>
    <w:rsid w:val="000D3172"/>
    <w:rsid w:val="000D6A8B"/>
    <w:rsid w:val="000E05A8"/>
    <w:rsid w:val="000E16CF"/>
    <w:rsid w:val="000E2E4E"/>
    <w:rsid w:val="000E3245"/>
    <w:rsid w:val="000E32B5"/>
    <w:rsid w:val="000E53A3"/>
    <w:rsid w:val="000E5CC1"/>
    <w:rsid w:val="000E71EE"/>
    <w:rsid w:val="000F2C69"/>
    <w:rsid w:val="000F40FC"/>
    <w:rsid w:val="000F670D"/>
    <w:rsid w:val="000F6FC6"/>
    <w:rsid w:val="00101A8F"/>
    <w:rsid w:val="00101E41"/>
    <w:rsid w:val="0010265D"/>
    <w:rsid w:val="00103A5D"/>
    <w:rsid w:val="00105090"/>
    <w:rsid w:val="00105F33"/>
    <w:rsid w:val="00107437"/>
    <w:rsid w:val="001075E9"/>
    <w:rsid w:val="001077D0"/>
    <w:rsid w:val="001118BC"/>
    <w:rsid w:val="00113441"/>
    <w:rsid w:val="00114EC2"/>
    <w:rsid w:val="00115339"/>
    <w:rsid w:val="00117164"/>
    <w:rsid w:val="00120D95"/>
    <w:rsid w:val="00121811"/>
    <w:rsid w:val="00122159"/>
    <w:rsid w:val="001227AC"/>
    <w:rsid w:val="00124280"/>
    <w:rsid w:val="0012538C"/>
    <w:rsid w:val="0012778D"/>
    <w:rsid w:val="00130FCD"/>
    <w:rsid w:val="001310B0"/>
    <w:rsid w:val="00133281"/>
    <w:rsid w:val="00133667"/>
    <w:rsid w:val="00134BD4"/>
    <w:rsid w:val="00136A70"/>
    <w:rsid w:val="00137ACB"/>
    <w:rsid w:val="001428D7"/>
    <w:rsid w:val="00143890"/>
    <w:rsid w:val="00144490"/>
    <w:rsid w:val="00144E78"/>
    <w:rsid w:val="00147A9F"/>
    <w:rsid w:val="00151D82"/>
    <w:rsid w:val="00153AE3"/>
    <w:rsid w:val="00155BED"/>
    <w:rsid w:val="001563F9"/>
    <w:rsid w:val="0015787A"/>
    <w:rsid w:val="00157B42"/>
    <w:rsid w:val="00165B3E"/>
    <w:rsid w:val="001661F2"/>
    <w:rsid w:val="001705C3"/>
    <w:rsid w:val="00172119"/>
    <w:rsid w:val="00174C02"/>
    <w:rsid w:val="00174F97"/>
    <w:rsid w:val="0018078E"/>
    <w:rsid w:val="0018085D"/>
    <w:rsid w:val="00181C85"/>
    <w:rsid w:val="00183246"/>
    <w:rsid w:val="001833CA"/>
    <w:rsid w:val="00183AAD"/>
    <w:rsid w:val="00185463"/>
    <w:rsid w:val="00186499"/>
    <w:rsid w:val="001872C6"/>
    <w:rsid w:val="00191E7D"/>
    <w:rsid w:val="00192D03"/>
    <w:rsid w:val="00193B5E"/>
    <w:rsid w:val="0019414E"/>
    <w:rsid w:val="0019598D"/>
    <w:rsid w:val="00196E31"/>
    <w:rsid w:val="00197CC8"/>
    <w:rsid w:val="001A13E6"/>
    <w:rsid w:val="001A5992"/>
    <w:rsid w:val="001B4C14"/>
    <w:rsid w:val="001B4F7B"/>
    <w:rsid w:val="001C08A3"/>
    <w:rsid w:val="001C0A2C"/>
    <w:rsid w:val="001C2808"/>
    <w:rsid w:val="001C444E"/>
    <w:rsid w:val="001C488D"/>
    <w:rsid w:val="001C5F63"/>
    <w:rsid w:val="001D2280"/>
    <w:rsid w:val="001D3510"/>
    <w:rsid w:val="001D402D"/>
    <w:rsid w:val="001D42DD"/>
    <w:rsid w:val="001D5282"/>
    <w:rsid w:val="001D64F9"/>
    <w:rsid w:val="001E0BB4"/>
    <w:rsid w:val="001E3E8E"/>
    <w:rsid w:val="001E47F6"/>
    <w:rsid w:val="001F0646"/>
    <w:rsid w:val="001F456D"/>
    <w:rsid w:val="001F4971"/>
    <w:rsid w:val="001F761F"/>
    <w:rsid w:val="001F7758"/>
    <w:rsid w:val="0020229F"/>
    <w:rsid w:val="002026A8"/>
    <w:rsid w:val="00202A6A"/>
    <w:rsid w:val="00202C58"/>
    <w:rsid w:val="00205FA0"/>
    <w:rsid w:val="0020635F"/>
    <w:rsid w:val="00206EEB"/>
    <w:rsid w:val="002078E4"/>
    <w:rsid w:val="002107DC"/>
    <w:rsid w:val="00212893"/>
    <w:rsid w:val="002128E7"/>
    <w:rsid w:val="002130A5"/>
    <w:rsid w:val="00214275"/>
    <w:rsid w:val="00215685"/>
    <w:rsid w:val="00216C24"/>
    <w:rsid w:val="00220CEC"/>
    <w:rsid w:val="00222D75"/>
    <w:rsid w:val="00222EB3"/>
    <w:rsid w:val="00223FA1"/>
    <w:rsid w:val="002240F0"/>
    <w:rsid w:val="002256B0"/>
    <w:rsid w:val="002302E7"/>
    <w:rsid w:val="002368E0"/>
    <w:rsid w:val="00236E4C"/>
    <w:rsid w:val="00237F98"/>
    <w:rsid w:val="00244FB5"/>
    <w:rsid w:val="00245558"/>
    <w:rsid w:val="002472DC"/>
    <w:rsid w:val="002473F0"/>
    <w:rsid w:val="002535B6"/>
    <w:rsid w:val="00254748"/>
    <w:rsid w:val="002561AD"/>
    <w:rsid w:val="002568D1"/>
    <w:rsid w:val="0025703B"/>
    <w:rsid w:val="002570CE"/>
    <w:rsid w:val="0026199B"/>
    <w:rsid w:val="002637BF"/>
    <w:rsid w:val="00265237"/>
    <w:rsid w:val="002654F0"/>
    <w:rsid w:val="002655F0"/>
    <w:rsid w:val="00270B6B"/>
    <w:rsid w:val="00275B6D"/>
    <w:rsid w:val="00276DE9"/>
    <w:rsid w:val="00277869"/>
    <w:rsid w:val="00277DE4"/>
    <w:rsid w:val="002913B8"/>
    <w:rsid w:val="002947FB"/>
    <w:rsid w:val="00297FD9"/>
    <w:rsid w:val="002A11D7"/>
    <w:rsid w:val="002A2214"/>
    <w:rsid w:val="002A23B0"/>
    <w:rsid w:val="002A499E"/>
    <w:rsid w:val="002A4D5C"/>
    <w:rsid w:val="002A6C32"/>
    <w:rsid w:val="002B2505"/>
    <w:rsid w:val="002B3642"/>
    <w:rsid w:val="002B43BE"/>
    <w:rsid w:val="002B4DCA"/>
    <w:rsid w:val="002C1958"/>
    <w:rsid w:val="002C1BD8"/>
    <w:rsid w:val="002C3177"/>
    <w:rsid w:val="002C41AC"/>
    <w:rsid w:val="002C4342"/>
    <w:rsid w:val="002C569E"/>
    <w:rsid w:val="002C6AA1"/>
    <w:rsid w:val="002C6E25"/>
    <w:rsid w:val="002D0267"/>
    <w:rsid w:val="002D573E"/>
    <w:rsid w:val="002D5C94"/>
    <w:rsid w:val="002E03F4"/>
    <w:rsid w:val="002E20EF"/>
    <w:rsid w:val="002E2FE7"/>
    <w:rsid w:val="002E51CB"/>
    <w:rsid w:val="002E64BF"/>
    <w:rsid w:val="002F105F"/>
    <w:rsid w:val="002F6AA7"/>
    <w:rsid w:val="002F79A2"/>
    <w:rsid w:val="00300E81"/>
    <w:rsid w:val="003035E4"/>
    <w:rsid w:val="00303D28"/>
    <w:rsid w:val="00305F2A"/>
    <w:rsid w:val="00311AB1"/>
    <w:rsid w:val="003129FD"/>
    <w:rsid w:val="00313EC2"/>
    <w:rsid w:val="00313FC3"/>
    <w:rsid w:val="003149B5"/>
    <w:rsid w:val="00314A43"/>
    <w:rsid w:val="0031610A"/>
    <w:rsid w:val="0031663B"/>
    <w:rsid w:val="0031701D"/>
    <w:rsid w:val="0032029A"/>
    <w:rsid w:val="0032046F"/>
    <w:rsid w:val="00320FBD"/>
    <w:rsid w:val="00322369"/>
    <w:rsid w:val="0032274A"/>
    <w:rsid w:val="00326131"/>
    <w:rsid w:val="00332249"/>
    <w:rsid w:val="00332ECC"/>
    <w:rsid w:val="00335DD6"/>
    <w:rsid w:val="00341234"/>
    <w:rsid w:val="00341572"/>
    <w:rsid w:val="003431F3"/>
    <w:rsid w:val="00343A49"/>
    <w:rsid w:val="00343B5A"/>
    <w:rsid w:val="0034583C"/>
    <w:rsid w:val="0035035D"/>
    <w:rsid w:val="00350C2F"/>
    <w:rsid w:val="00351461"/>
    <w:rsid w:val="00351621"/>
    <w:rsid w:val="00355801"/>
    <w:rsid w:val="00355879"/>
    <w:rsid w:val="00360F3D"/>
    <w:rsid w:val="00362651"/>
    <w:rsid w:val="00362740"/>
    <w:rsid w:val="00363874"/>
    <w:rsid w:val="00365A8E"/>
    <w:rsid w:val="00366825"/>
    <w:rsid w:val="00370350"/>
    <w:rsid w:val="003706A5"/>
    <w:rsid w:val="00372F63"/>
    <w:rsid w:val="00373454"/>
    <w:rsid w:val="00374DE6"/>
    <w:rsid w:val="00375AD2"/>
    <w:rsid w:val="00375FAC"/>
    <w:rsid w:val="003761F0"/>
    <w:rsid w:val="00376B61"/>
    <w:rsid w:val="00376D19"/>
    <w:rsid w:val="003805EB"/>
    <w:rsid w:val="00382655"/>
    <w:rsid w:val="00383BB0"/>
    <w:rsid w:val="00383C08"/>
    <w:rsid w:val="00383ED2"/>
    <w:rsid w:val="00384E85"/>
    <w:rsid w:val="003874B6"/>
    <w:rsid w:val="00387D71"/>
    <w:rsid w:val="00390B51"/>
    <w:rsid w:val="00395A25"/>
    <w:rsid w:val="00395C3E"/>
    <w:rsid w:val="003A0AAB"/>
    <w:rsid w:val="003A3016"/>
    <w:rsid w:val="003B0CDB"/>
    <w:rsid w:val="003B134C"/>
    <w:rsid w:val="003B13B1"/>
    <w:rsid w:val="003B2AD9"/>
    <w:rsid w:val="003B30CA"/>
    <w:rsid w:val="003B3128"/>
    <w:rsid w:val="003B430A"/>
    <w:rsid w:val="003C02A4"/>
    <w:rsid w:val="003C2F5C"/>
    <w:rsid w:val="003C44C1"/>
    <w:rsid w:val="003C6122"/>
    <w:rsid w:val="003C62BE"/>
    <w:rsid w:val="003D22D5"/>
    <w:rsid w:val="003D2868"/>
    <w:rsid w:val="003D3F70"/>
    <w:rsid w:val="003D791C"/>
    <w:rsid w:val="003E1BB3"/>
    <w:rsid w:val="003E29AC"/>
    <w:rsid w:val="003E49CF"/>
    <w:rsid w:val="003E5BF2"/>
    <w:rsid w:val="003E6919"/>
    <w:rsid w:val="003F1149"/>
    <w:rsid w:val="003F2E85"/>
    <w:rsid w:val="003F4B9E"/>
    <w:rsid w:val="003F5A9B"/>
    <w:rsid w:val="003F5ACE"/>
    <w:rsid w:val="003F6BDC"/>
    <w:rsid w:val="003F6C4B"/>
    <w:rsid w:val="003F7068"/>
    <w:rsid w:val="00400688"/>
    <w:rsid w:val="00401842"/>
    <w:rsid w:val="0040219A"/>
    <w:rsid w:val="00411B39"/>
    <w:rsid w:val="00412CDF"/>
    <w:rsid w:val="00413413"/>
    <w:rsid w:val="0041359A"/>
    <w:rsid w:val="00415722"/>
    <w:rsid w:val="0042033B"/>
    <w:rsid w:val="0042144D"/>
    <w:rsid w:val="004214BB"/>
    <w:rsid w:val="004313A9"/>
    <w:rsid w:val="00431B09"/>
    <w:rsid w:val="00447610"/>
    <w:rsid w:val="004514DF"/>
    <w:rsid w:val="00452361"/>
    <w:rsid w:val="00454D47"/>
    <w:rsid w:val="00456D64"/>
    <w:rsid w:val="00457B64"/>
    <w:rsid w:val="00462841"/>
    <w:rsid w:val="004632E1"/>
    <w:rsid w:val="00463DE1"/>
    <w:rsid w:val="004711DF"/>
    <w:rsid w:val="00472D9D"/>
    <w:rsid w:val="004733B0"/>
    <w:rsid w:val="004747F9"/>
    <w:rsid w:val="00474A94"/>
    <w:rsid w:val="00474EB7"/>
    <w:rsid w:val="00477CA8"/>
    <w:rsid w:val="00481887"/>
    <w:rsid w:val="004833D9"/>
    <w:rsid w:val="0048584C"/>
    <w:rsid w:val="00487BBD"/>
    <w:rsid w:val="00487C41"/>
    <w:rsid w:val="00491788"/>
    <w:rsid w:val="00491A98"/>
    <w:rsid w:val="0049285F"/>
    <w:rsid w:val="00492B22"/>
    <w:rsid w:val="00495F0F"/>
    <w:rsid w:val="00496020"/>
    <w:rsid w:val="0049619C"/>
    <w:rsid w:val="004A0AE1"/>
    <w:rsid w:val="004A0E14"/>
    <w:rsid w:val="004A31B7"/>
    <w:rsid w:val="004A48BB"/>
    <w:rsid w:val="004A5531"/>
    <w:rsid w:val="004B4BC8"/>
    <w:rsid w:val="004B543C"/>
    <w:rsid w:val="004B66C3"/>
    <w:rsid w:val="004B7921"/>
    <w:rsid w:val="004C0659"/>
    <w:rsid w:val="004C079B"/>
    <w:rsid w:val="004C2475"/>
    <w:rsid w:val="004C7356"/>
    <w:rsid w:val="004C75F7"/>
    <w:rsid w:val="004C7C1B"/>
    <w:rsid w:val="004D354E"/>
    <w:rsid w:val="004D3F16"/>
    <w:rsid w:val="004D5A40"/>
    <w:rsid w:val="004E0621"/>
    <w:rsid w:val="004E2E0E"/>
    <w:rsid w:val="004E4254"/>
    <w:rsid w:val="004E558C"/>
    <w:rsid w:val="004E7F87"/>
    <w:rsid w:val="004F022B"/>
    <w:rsid w:val="004F1F19"/>
    <w:rsid w:val="004F32B0"/>
    <w:rsid w:val="004F3645"/>
    <w:rsid w:val="004F5C41"/>
    <w:rsid w:val="004F6AFC"/>
    <w:rsid w:val="004F6E12"/>
    <w:rsid w:val="004F7DFB"/>
    <w:rsid w:val="0050282D"/>
    <w:rsid w:val="005037A6"/>
    <w:rsid w:val="00503E13"/>
    <w:rsid w:val="00504A96"/>
    <w:rsid w:val="00504BBB"/>
    <w:rsid w:val="00505D6A"/>
    <w:rsid w:val="00507BDA"/>
    <w:rsid w:val="00512504"/>
    <w:rsid w:val="0051260C"/>
    <w:rsid w:val="0051335F"/>
    <w:rsid w:val="00513AEA"/>
    <w:rsid w:val="0051469B"/>
    <w:rsid w:val="00514BDC"/>
    <w:rsid w:val="00515483"/>
    <w:rsid w:val="00517B73"/>
    <w:rsid w:val="00522D56"/>
    <w:rsid w:val="00525BD4"/>
    <w:rsid w:val="00526492"/>
    <w:rsid w:val="005308C7"/>
    <w:rsid w:val="0053292A"/>
    <w:rsid w:val="00534805"/>
    <w:rsid w:val="00536C10"/>
    <w:rsid w:val="00540DD4"/>
    <w:rsid w:val="00541E74"/>
    <w:rsid w:val="005422C4"/>
    <w:rsid w:val="00542AFE"/>
    <w:rsid w:val="00542B20"/>
    <w:rsid w:val="00543C4F"/>
    <w:rsid w:val="0054699C"/>
    <w:rsid w:val="00546D90"/>
    <w:rsid w:val="00552377"/>
    <w:rsid w:val="00563602"/>
    <w:rsid w:val="00563C6B"/>
    <w:rsid w:val="00564667"/>
    <w:rsid w:val="00564D5D"/>
    <w:rsid w:val="00565375"/>
    <w:rsid w:val="00567159"/>
    <w:rsid w:val="00571295"/>
    <w:rsid w:val="005719CE"/>
    <w:rsid w:val="00574494"/>
    <w:rsid w:val="005748A0"/>
    <w:rsid w:val="005777BF"/>
    <w:rsid w:val="00577F1E"/>
    <w:rsid w:val="00580019"/>
    <w:rsid w:val="00581304"/>
    <w:rsid w:val="005835EE"/>
    <w:rsid w:val="00583625"/>
    <w:rsid w:val="00584487"/>
    <w:rsid w:val="005854C5"/>
    <w:rsid w:val="00585E55"/>
    <w:rsid w:val="0058692B"/>
    <w:rsid w:val="00587087"/>
    <w:rsid w:val="0059024E"/>
    <w:rsid w:val="00591E78"/>
    <w:rsid w:val="00595FAF"/>
    <w:rsid w:val="00597E23"/>
    <w:rsid w:val="005A04C4"/>
    <w:rsid w:val="005A05F7"/>
    <w:rsid w:val="005A1237"/>
    <w:rsid w:val="005A18FF"/>
    <w:rsid w:val="005A19FD"/>
    <w:rsid w:val="005A43AF"/>
    <w:rsid w:val="005A4880"/>
    <w:rsid w:val="005A6B47"/>
    <w:rsid w:val="005A6C39"/>
    <w:rsid w:val="005B2907"/>
    <w:rsid w:val="005B45E6"/>
    <w:rsid w:val="005B48C1"/>
    <w:rsid w:val="005B502F"/>
    <w:rsid w:val="005B775B"/>
    <w:rsid w:val="005B7D91"/>
    <w:rsid w:val="005C39E4"/>
    <w:rsid w:val="005C435F"/>
    <w:rsid w:val="005C595F"/>
    <w:rsid w:val="005C6323"/>
    <w:rsid w:val="005C6BCB"/>
    <w:rsid w:val="005D31D1"/>
    <w:rsid w:val="005D51C0"/>
    <w:rsid w:val="005D640F"/>
    <w:rsid w:val="005E002F"/>
    <w:rsid w:val="005E1047"/>
    <w:rsid w:val="005E2222"/>
    <w:rsid w:val="005E5472"/>
    <w:rsid w:val="005E64CA"/>
    <w:rsid w:val="005E65BD"/>
    <w:rsid w:val="005E6C50"/>
    <w:rsid w:val="005F06A7"/>
    <w:rsid w:val="005F0715"/>
    <w:rsid w:val="005F213A"/>
    <w:rsid w:val="005F5328"/>
    <w:rsid w:val="005F67AB"/>
    <w:rsid w:val="005F6D94"/>
    <w:rsid w:val="005F7B34"/>
    <w:rsid w:val="005F7D49"/>
    <w:rsid w:val="00601478"/>
    <w:rsid w:val="006016D2"/>
    <w:rsid w:val="00601B9C"/>
    <w:rsid w:val="00602AD3"/>
    <w:rsid w:val="00604253"/>
    <w:rsid w:val="00604383"/>
    <w:rsid w:val="00604772"/>
    <w:rsid w:val="0060527A"/>
    <w:rsid w:val="0060550A"/>
    <w:rsid w:val="00611907"/>
    <w:rsid w:val="006122D3"/>
    <w:rsid w:val="00617144"/>
    <w:rsid w:val="00617388"/>
    <w:rsid w:val="00623678"/>
    <w:rsid w:val="00623FBB"/>
    <w:rsid w:val="0062430A"/>
    <w:rsid w:val="00626214"/>
    <w:rsid w:val="00633813"/>
    <w:rsid w:val="00633AFE"/>
    <w:rsid w:val="00634C1C"/>
    <w:rsid w:val="00634D9E"/>
    <w:rsid w:val="006350D2"/>
    <w:rsid w:val="00635208"/>
    <w:rsid w:val="00635B36"/>
    <w:rsid w:val="00635DDD"/>
    <w:rsid w:val="00637EFF"/>
    <w:rsid w:val="00640B79"/>
    <w:rsid w:val="006438B4"/>
    <w:rsid w:val="0064392A"/>
    <w:rsid w:val="00644052"/>
    <w:rsid w:val="006440D6"/>
    <w:rsid w:val="006446F0"/>
    <w:rsid w:val="00645557"/>
    <w:rsid w:val="006459F0"/>
    <w:rsid w:val="00645B5A"/>
    <w:rsid w:val="0064627E"/>
    <w:rsid w:val="006473D2"/>
    <w:rsid w:val="00647EFA"/>
    <w:rsid w:val="00653977"/>
    <w:rsid w:val="006558DB"/>
    <w:rsid w:val="006576E2"/>
    <w:rsid w:val="006608F1"/>
    <w:rsid w:val="00661378"/>
    <w:rsid w:val="0066162B"/>
    <w:rsid w:val="00662875"/>
    <w:rsid w:val="0066335A"/>
    <w:rsid w:val="0066384C"/>
    <w:rsid w:val="0066478E"/>
    <w:rsid w:val="006648E7"/>
    <w:rsid w:val="00666DF0"/>
    <w:rsid w:val="00671DF2"/>
    <w:rsid w:val="006721D2"/>
    <w:rsid w:val="006730C7"/>
    <w:rsid w:val="006739B5"/>
    <w:rsid w:val="006739BC"/>
    <w:rsid w:val="006766F4"/>
    <w:rsid w:val="00681060"/>
    <w:rsid w:val="00683EFD"/>
    <w:rsid w:val="00684C6E"/>
    <w:rsid w:val="00685B9F"/>
    <w:rsid w:val="00692EFE"/>
    <w:rsid w:val="0069313D"/>
    <w:rsid w:val="006A3AEA"/>
    <w:rsid w:val="006A4649"/>
    <w:rsid w:val="006A4735"/>
    <w:rsid w:val="006A6010"/>
    <w:rsid w:val="006B02DA"/>
    <w:rsid w:val="006B120F"/>
    <w:rsid w:val="006B2C3F"/>
    <w:rsid w:val="006B32A7"/>
    <w:rsid w:val="006B5B1E"/>
    <w:rsid w:val="006B5F8B"/>
    <w:rsid w:val="006B63AE"/>
    <w:rsid w:val="006C1110"/>
    <w:rsid w:val="006C3246"/>
    <w:rsid w:val="006C3F72"/>
    <w:rsid w:val="006C4F4F"/>
    <w:rsid w:val="006C69FF"/>
    <w:rsid w:val="006D0847"/>
    <w:rsid w:val="006D3D04"/>
    <w:rsid w:val="006E0334"/>
    <w:rsid w:val="006E11B8"/>
    <w:rsid w:val="006E1D89"/>
    <w:rsid w:val="006E2F21"/>
    <w:rsid w:val="006E4B3C"/>
    <w:rsid w:val="006F094A"/>
    <w:rsid w:val="006F1C07"/>
    <w:rsid w:val="006F2099"/>
    <w:rsid w:val="006F3167"/>
    <w:rsid w:val="006F5C27"/>
    <w:rsid w:val="006F7099"/>
    <w:rsid w:val="007010D6"/>
    <w:rsid w:val="00701A9C"/>
    <w:rsid w:val="007026A8"/>
    <w:rsid w:val="00703F21"/>
    <w:rsid w:val="00704934"/>
    <w:rsid w:val="0070519D"/>
    <w:rsid w:val="00713EF2"/>
    <w:rsid w:val="00714234"/>
    <w:rsid w:val="00714D14"/>
    <w:rsid w:val="00716D2A"/>
    <w:rsid w:val="0071736D"/>
    <w:rsid w:val="00721408"/>
    <w:rsid w:val="00722D65"/>
    <w:rsid w:val="00725828"/>
    <w:rsid w:val="00730F98"/>
    <w:rsid w:val="00731002"/>
    <w:rsid w:val="00733800"/>
    <w:rsid w:val="0073428C"/>
    <w:rsid w:val="007353F0"/>
    <w:rsid w:val="00735747"/>
    <w:rsid w:val="007364C2"/>
    <w:rsid w:val="007372CA"/>
    <w:rsid w:val="0073778C"/>
    <w:rsid w:val="0074039E"/>
    <w:rsid w:val="007425B2"/>
    <w:rsid w:val="00743DFF"/>
    <w:rsid w:val="00747E23"/>
    <w:rsid w:val="00750266"/>
    <w:rsid w:val="00750E2A"/>
    <w:rsid w:val="00751D44"/>
    <w:rsid w:val="00751D47"/>
    <w:rsid w:val="00753A37"/>
    <w:rsid w:val="00753E33"/>
    <w:rsid w:val="00754A7E"/>
    <w:rsid w:val="007555F8"/>
    <w:rsid w:val="00757674"/>
    <w:rsid w:val="00760232"/>
    <w:rsid w:val="00760FF0"/>
    <w:rsid w:val="0076359D"/>
    <w:rsid w:val="00763693"/>
    <w:rsid w:val="00765C22"/>
    <w:rsid w:val="00767AD5"/>
    <w:rsid w:val="00767B3C"/>
    <w:rsid w:val="00772A99"/>
    <w:rsid w:val="00773D88"/>
    <w:rsid w:val="007752C1"/>
    <w:rsid w:val="00777A1F"/>
    <w:rsid w:val="007809D2"/>
    <w:rsid w:val="00780A1B"/>
    <w:rsid w:val="007822CD"/>
    <w:rsid w:val="00782795"/>
    <w:rsid w:val="007832A6"/>
    <w:rsid w:val="00784044"/>
    <w:rsid w:val="0079132F"/>
    <w:rsid w:val="00793B19"/>
    <w:rsid w:val="0079426D"/>
    <w:rsid w:val="007961AF"/>
    <w:rsid w:val="00796BD1"/>
    <w:rsid w:val="00796E8E"/>
    <w:rsid w:val="007A1F88"/>
    <w:rsid w:val="007A2E3B"/>
    <w:rsid w:val="007A517F"/>
    <w:rsid w:val="007A5B6E"/>
    <w:rsid w:val="007A6AA9"/>
    <w:rsid w:val="007A75E9"/>
    <w:rsid w:val="007B17FA"/>
    <w:rsid w:val="007B250A"/>
    <w:rsid w:val="007B3E57"/>
    <w:rsid w:val="007B6BAE"/>
    <w:rsid w:val="007B731A"/>
    <w:rsid w:val="007B7630"/>
    <w:rsid w:val="007C006E"/>
    <w:rsid w:val="007C3C46"/>
    <w:rsid w:val="007C4330"/>
    <w:rsid w:val="007C60FE"/>
    <w:rsid w:val="007C6EEF"/>
    <w:rsid w:val="007C6FDD"/>
    <w:rsid w:val="007D2980"/>
    <w:rsid w:val="007D3B2B"/>
    <w:rsid w:val="007D5A2F"/>
    <w:rsid w:val="007D7BC6"/>
    <w:rsid w:val="007D7D8A"/>
    <w:rsid w:val="007E4CA1"/>
    <w:rsid w:val="007E549B"/>
    <w:rsid w:val="007E6EFB"/>
    <w:rsid w:val="007E71DC"/>
    <w:rsid w:val="0080345E"/>
    <w:rsid w:val="008043B6"/>
    <w:rsid w:val="00804825"/>
    <w:rsid w:val="0080486F"/>
    <w:rsid w:val="00805A68"/>
    <w:rsid w:val="00807382"/>
    <w:rsid w:val="008141FB"/>
    <w:rsid w:val="00814E26"/>
    <w:rsid w:val="00822880"/>
    <w:rsid w:val="0082389C"/>
    <w:rsid w:val="008256AE"/>
    <w:rsid w:val="0082620D"/>
    <w:rsid w:val="00827C6F"/>
    <w:rsid w:val="008323D1"/>
    <w:rsid w:val="00832C56"/>
    <w:rsid w:val="00832F9A"/>
    <w:rsid w:val="00833733"/>
    <w:rsid w:val="00837169"/>
    <w:rsid w:val="00840F7A"/>
    <w:rsid w:val="00841404"/>
    <w:rsid w:val="00841A10"/>
    <w:rsid w:val="008432FC"/>
    <w:rsid w:val="0084355A"/>
    <w:rsid w:val="00844FD6"/>
    <w:rsid w:val="00845341"/>
    <w:rsid w:val="0084612A"/>
    <w:rsid w:val="008464B8"/>
    <w:rsid w:val="00850100"/>
    <w:rsid w:val="0085033E"/>
    <w:rsid w:val="00860C76"/>
    <w:rsid w:val="00860E97"/>
    <w:rsid w:val="0086142C"/>
    <w:rsid w:val="00862105"/>
    <w:rsid w:val="00863DCF"/>
    <w:rsid w:val="008700A7"/>
    <w:rsid w:val="00873DDD"/>
    <w:rsid w:val="008749D1"/>
    <w:rsid w:val="00877AC3"/>
    <w:rsid w:val="00877F4C"/>
    <w:rsid w:val="00877FAB"/>
    <w:rsid w:val="008818C9"/>
    <w:rsid w:val="00881D0C"/>
    <w:rsid w:val="00882609"/>
    <w:rsid w:val="008827DB"/>
    <w:rsid w:val="00885F74"/>
    <w:rsid w:val="00886206"/>
    <w:rsid w:val="00886E7A"/>
    <w:rsid w:val="00890E4B"/>
    <w:rsid w:val="008928E3"/>
    <w:rsid w:val="00892AEA"/>
    <w:rsid w:val="00893284"/>
    <w:rsid w:val="008A0493"/>
    <w:rsid w:val="008A1BA5"/>
    <w:rsid w:val="008A1EA8"/>
    <w:rsid w:val="008A30C1"/>
    <w:rsid w:val="008A3596"/>
    <w:rsid w:val="008A530A"/>
    <w:rsid w:val="008A63C5"/>
    <w:rsid w:val="008A7393"/>
    <w:rsid w:val="008A77AC"/>
    <w:rsid w:val="008B41C4"/>
    <w:rsid w:val="008B65D3"/>
    <w:rsid w:val="008B7A78"/>
    <w:rsid w:val="008B7E17"/>
    <w:rsid w:val="008C025B"/>
    <w:rsid w:val="008C034D"/>
    <w:rsid w:val="008C05C3"/>
    <w:rsid w:val="008C1AA7"/>
    <w:rsid w:val="008C2395"/>
    <w:rsid w:val="008C5C48"/>
    <w:rsid w:val="008C63DA"/>
    <w:rsid w:val="008C6F66"/>
    <w:rsid w:val="008C74A6"/>
    <w:rsid w:val="008D1EC3"/>
    <w:rsid w:val="008D5CEE"/>
    <w:rsid w:val="008D6416"/>
    <w:rsid w:val="008E0F73"/>
    <w:rsid w:val="008E45F4"/>
    <w:rsid w:val="008E4988"/>
    <w:rsid w:val="008E541F"/>
    <w:rsid w:val="008E701C"/>
    <w:rsid w:val="008E76FF"/>
    <w:rsid w:val="008F4B19"/>
    <w:rsid w:val="008F71EC"/>
    <w:rsid w:val="00900E9E"/>
    <w:rsid w:val="0090366E"/>
    <w:rsid w:val="00907B23"/>
    <w:rsid w:val="009104F6"/>
    <w:rsid w:val="009130D9"/>
    <w:rsid w:val="009158CB"/>
    <w:rsid w:val="009169E5"/>
    <w:rsid w:val="00920397"/>
    <w:rsid w:val="0092105E"/>
    <w:rsid w:val="009216A5"/>
    <w:rsid w:val="00921A81"/>
    <w:rsid w:val="00922290"/>
    <w:rsid w:val="0092253D"/>
    <w:rsid w:val="00924082"/>
    <w:rsid w:val="00925AAC"/>
    <w:rsid w:val="009266E8"/>
    <w:rsid w:val="00926787"/>
    <w:rsid w:val="00930EB8"/>
    <w:rsid w:val="00936B5C"/>
    <w:rsid w:val="00937091"/>
    <w:rsid w:val="00937DFE"/>
    <w:rsid w:val="009416B2"/>
    <w:rsid w:val="009416D0"/>
    <w:rsid w:val="00941DFC"/>
    <w:rsid w:val="00943D94"/>
    <w:rsid w:val="00950F1A"/>
    <w:rsid w:val="00951136"/>
    <w:rsid w:val="00955A0A"/>
    <w:rsid w:val="00960718"/>
    <w:rsid w:val="0096224C"/>
    <w:rsid w:val="0096282E"/>
    <w:rsid w:val="0096296A"/>
    <w:rsid w:val="00965D4E"/>
    <w:rsid w:val="0096615D"/>
    <w:rsid w:val="009665F9"/>
    <w:rsid w:val="00967917"/>
    <w:rsid w:val="009708A5"/>
    <w:rsid w:val="00970BBA"/>
    <w:rsid w:val="00974A3D"/>
    <w:rsid w:val="00974F72"/>
    <w:rsid w:val="009751EF"/>
    <w:rsid w:val="009762A9"/>
    <w:rsid w:val="00977146"/>
    <w:rsid w:val="00981C95"/>
    <w:rsid w:val="0098540E"/>
    <w:rsid w:val="009922D9"/>
    <w:rsid w:val="009927ED"/>
    <w:rsid w:val="009929E0"/>
    <w:rsid w:val="00993908"/>
    <w:rsid w:val="009957AE"/>
    <w:rsid w:val="00996DA3"/>
    <w:rsid w:val="009A0530"/>
    <w:rsid w:val="009A06D3"/>
    <w:rsid w:val="009B1CDF"/>
    <w:rsid w:val="009B24E3"/>
    <w:rsid w:val="009B31FC"/>
    <w:rsid w:val="009B3909"/>
    <w:rsid w:val="009B5143"/>
    <w:rsid w:val="009B6870"/>
    <w:rsid w:val="009C1101"/>
    <w:rsid w:val="009C5102"/>
    <w:rsid w:val="009C66F9"/>
    <w:rsid w:val="009C71D0"/>
    <w:rsid w:val="009D1F46"/>
    <w:rsid w:val="009D39C9"/>
    <w:rsid w:val="009D39DD"/>
    <w:rsid w:val="009D5062"/>
    <w:rsid w:val="009D6D4D"/>
    <w:rsid w:val="009E2868"/>
    <w:rsid w:val="009E53C1"/>
    <w:rsid w:val="009E549B"/>
    <w:rsid w:val="009E66FC"/>
    <w:rsid w:val="009E7C97"/>
    <w:rsid w:val="009F02D4"/>
    <w:rsid w:val="009F3207"/>
    <w:rsid w:val="009F4BCE"/>
    <w:rsid w:val="00A02BF9"/>
    <w:rsid w:val="00A03BD5"/>
    <w:rsid w:val="00A049DB"/>
    <w:rsid w:val="00A05EC6"/>
    <w:rsid w:val="00A12678"/>
    <w:rsid w:val="00A12F9E"/>
    <w:rsid w:val="00A1390A"/>
    <w:rsid w:val="00A16A69"/>
    <w:rsid w:val="00A16BD8"/>
    <w:rsid w:val="00A17C8D"/>
    <w:rsid w:val="00A269C0"/>
    <w:rsid w:val="00A269E3"/>
    <w:rsid w:val="00A26A1D"/>
    <w:rsid w:val="00A307DF"/>
    <w:rsid w:val="00A30DA3"/>
    <w:rsid w:val="00A320E5"/>
    <w:rsid w:val="00A32385"/>
    <w:rsid w:val="00A35CC9"/>
    <w:rsid w:val="00A367BA"/>
    <w:rsid w:val="00A377B6"/>
    <w:rsid w:val="00A37CA5"/>
    <w:rsid w:val="00A37E2A"/>
    <w:rsid w:val="00A400AB"/>
    <w:rsid w:val="00A43654"/>
    <w:rsid w:val="00A4378A"/>
    <w:rsid w:val="00A44D71"/>
    <w:rsid w:val="00A45B0E"/>
    <w:rsid w:val="00A525E2"/>
    <w:rsid w:val="00A54BC7"/>
    <w:rsid w:val="00A54DFF"/>
    <w:rsid w:val="00A55225"/>
    <w:rsid w:val="00A574F9"/>
    <w:rsid w:val="00A57706"/>
    <w:rsid w:val="00A57F28"/>
    <w:rsid w:val="00A6198C"/>
    <w:rsid w:val="00A64D98"/>
    <w:rsid w:val="00A6585D"/>
    <w:rsid w:val="00A65DBB"/>
    <w:rsid w:val="00A66453"/>
    <w:rsid w:val="00A7272E"/>
    <w:rsid w:val="00A77EB6"/>
    <w:rsid w:val="00A82EDD"/>
    <w:rsid w:val="00A83F13"/>
    <w:rsid w:val="00A841C6"/>
    <w:rsid w:val="00A84E59"/>
    <w:rsid w:val="00A9000C"/>
    <w:rsid w:val="00A9099D"/>
    <w:rsid w:val="00A91836"/>
    <w:rsid w:val="00A92821"/>
    <w:rsid w:val="00A961B9"/>
    <w:rsid w:val="00A97467"/>
    <w:rsid w:val="00A97658"/>
    <w:rsid w:val="00AA133B"/>
    <w:rsid w:val="00AA3872"/>
    <w:rsid w:val="00AA615D"/>
    <w:rsid w:val="00AA7FD4"/>
    <w:rsid w:val="00AC05E8"/>
    <w:rsid w:val="00AC1214"/>
    <w:rsid w:val="00AC1D04"/>
    <w:rsid w:val="00AC20E8"/>
    <w:rsid w:val="00AC228B"/>
    <w:rsid w:val="00AC2558"/>
    <w:rsid w:val="00AC267D"/>
    <w:rsid w:val="00AC38DA"/>
    <w:rsid w:val="00AC7DF8"/>
    <w:rsid w:val="00AD5454"/>
    <w:rsid w:val="00AE084B"/>
    <w:rsid w:val="00AE1F25"/>
    <w:rsid w:val="00AE4774"/>
    <w:rsid w:val="00AE4926"/>
    <w:rsid w:val="00AF1686"/>
    <w:rsid w:val="00AF42F3"/>
    <w:rsid w:val="00AF6B56"/>
    <w:rsid w:val="00B00035"/>
    <w:rsid w:val="00B0236B"/>
    <w:rsid w:val="00B0391C"/>
    <w:rsid w:val="00B03AED"/>
    <w:rsid w:val="00B03FE8"/>
    <w:rsid w:val="00B05ACE"/>
    <w:rsid w:val="00B05E96"/>
    <w:rsid w:val="00B07183"/>
    <w:rsid w:val="00B07C33"/>
    <w:rsid w:val="00B07DB1"/>
    <w:rsid w:val="00B118CC"/>
    <w:rsid w:val="00B1374E"/>
    <w:rsid w:val="00B146DC"/>
    <w:rsid w:val="00B16CFA"/>
    <w:rsid w:val="00B22C04"/>
    <w:rsid w:val="00B23536"/>
    <w:rsid w:val="00B240E2"/>
    <w:rsid w:val="00B2452C"/>
    <w:rsid w:val="00B24992"/>
    <w:rsid w:val="00B25687"/>
    <w:rsid w:val="00B30CC8"/>
    <w:rsid w:val="00B3368C"/>
    <w:rsid w:val="00B33E6C"/>
    <w:rsid w:val="00B33FD4"/>
    <w:rsid w:val="00B33FF2"/>
    <w:rsid w:val="00B3440E"/>
    <w:rsid w:val="00B34C6E"/>
    <w:rsid w:val="00B36427"/>
    <w:rsid w:val="00B3718E"/>
    <w:rsid w:val="00B41009"/>
    <w:rsid w:val="00B41B9B"/>
    <w:rsid w:val="00B42679"/>
    <w:rsid w:val="00B443B5"/>
    <w:rsid w:val="00B45F13"/>
    <w:rsid w:val="00B47399"/>
    <w:rsid w:val="00B5146C"/>
    <w:rsid w:val="00B525C5"/>
    <w:rsid w:val="00B52ADE"/>
    <w:rsid w:val="00B530F6"/>
    <w:rsid w:val="00B53833"/>
    <w:rsid w:val="00B54E1B"/>
    <w:rsid w:val="00B55B35"/>
    <w:rsid w:val="00B564F8"/>
    <w:rsid w:val="00B5790D"/>
    <w:rsid w:val="00B57F7A"/>
    <w:rsid w:val="00B62103"/>
    <w:rsid w:val="00B6504D"/>
    <w:rsid w:val="00B657C1"/>
    <w:rsid w:val="00B706EA"/>
    <w:rsid w:val="00B70CA7"/>
    <w:rsid w:val="00B70CD4"/>
    <w:rsid w:val="00B7341B"/>
    <w:rsid w:val="00B759AB"/>
    <w:rsid w:val="00B762DA"/>
    <w:rsid w:val="00B76898"/>
    <w:rsid w:val="00B77CD2"/>
    <w:rsid w:val="00B81848"/>
    <w:rsid w:val="00B8440A"/>
    <w:rsid w:val="00B85AC6"/>
    <w:rsid w:val="00B8629E"/>
    <w:rsid w:val="00B87AB6"/>
    <w:rsid w:val="00B87F08"/>
    <w:rsid w:val="00B912BC"/>
    <w:rsid w:val="00B968FC"/>
    <w:rsid w:val="00BA0B6E"/>
    <w:rsid w:val="00BA30E8"/>
    <w:rsid w:val="00BA445D"/>
    <w:rsid w:val="00BA5537"/>
    <w:rsid w:val="00BA5DA3"/>
    <w:rsid w:val="00BB0075"/>
    <w:rsid w:val="00BB127D"/>
    <w:rsid w:val="00BB1413"/>
    <w:rsid w:val="00BB3CA9"/>
    <w:rsid w:val="00BB580C"/>
    <w:rsid w:val="00BB6928"/>
    <w:rsid w:val="00BB6993"/>
    <w:rsid w:val="00BB6BB6"/>
    <w:rsid w:val="00BB7E65"/>
    <w:rsid w:val="00BC284B"/>
    <w:rsid w:val="00BD19B9"/>
    <w:rsid w:val="00BD25E8"/>
    <w:rsid w:val="00BD45B2"/>
    <w:rsid w:val="00BD4D78"/>
    <w:rsid w:val="00BD5058"/>
    <w:rsid w:val="00BE20A3"/>
    <w:rsid w:val="00BE404B"/>
    <w:rsid w:val="00BF0098"/>
    <w:rsid w:val="00BF0112"/>
    <w:rsid w:val="00BF2F55"/>
    <w:rsid w:val="00BF32BD"/>
    <w:rsid w:val="00BF371F"/>
    <w:rsid w:val="00BF3CC4"/>
    <w:rsid w:val="00BF5C03"/>
    <w:rsid w:val="00BF7399"/>
    <w:rsid w:val="00BF7984"/>
    <w:rsid w:val="00C04590"/>
    <w:rsid w:val="00C05480"/>
    <w:rsid w:val="00C05945"/>
    <w:rsid w:val="00C06942"/>
    <w:rsid w:val="00C077D8"/>
    <w:rsid w:val="00C115BB"/>
    <w:rsid w:val="00C12DEF"/>
    <w:rsid w:val="00C12DF2"/>
    <w:rsid w:val="00C146AF"/>
    <w:rsid w:val="00C23ACF"/>
    <w:rsid w:val="00C2485F"/>
    <w:rsid w:val="00C24B0A"/>
    <w:rsid w:val="00C26C87"/>
    <w:rsid w:val="00C26D3E"/>
    <w:rsid w:val="00C3040B"/>
    <w:rsid w:val="00C308F5"/>
    <w:rsid w:val="00C30FBB"/>
    <w:rsid w:val="00C37838"/>
    <w:rsid w:val="00C40366"/>
    <w:rsid w:val="00C41817"/>
    <w:rsid w:val="00C41B62"/>
    <w:rsid w:val="00C442F5"/>
    <w:rsid w:val="00C45007"/>
    <w:rsid w:val="00C46498"/>
    <w:rsid w:val="00C47878"/>
    <w:rsid w:val="00C478A1"/>
    <w:rsid w:val="00C50170"/>
    <w:rsid w:val="00C51A89"/>
    <w:rsid w:val="00C51F7F"/>
    <w:rsid w:val="00C53FC3"/>
    <w:rsid w:val="00C67801"/>
    <w:rsid w:val="00C71159"/>
    <w:rsid w:val="00C84312"/>
    <w:rsid w:val="00C848E1"/>
    <w:rsid w:val="00C92588"/>
    <w:rsid w:val="00C93B39"/>
    <w:rsid w:val="00C94303"/>
    <w:rsid w:val="00C959C0"/>
    <w:rsid w:val="00C95D87"/>
    <w:rsid w:val="00CA07CF"/>
    <w:rsid w:val="00CA272B"/>
    <w:rsid w:val="00CA3422"/>
    <w:rsid w:val="00CA557E"/>
    <w:rsid w:val="00CA6600"/>
    <w:rsid w:val="00CB0360"/>
    <w:rsid w:val="00CB074D"/>
    <w:rsid w:val="00CB317A"/>
    <w:rsid w:val="00CB4867"/>
    <w:rsid w:val="00CB5368"/>
    <w:rsid w:val="00CB6630"/>
    <w:rsid w:val="00CC059A"/>
    <w:rsid w:val="00CC266D"/>
    <w:rsid w:val="00CC388A"/>
    <w:rsid w:val="00CC4B40"/>
    <w:rsid w:val="00CC5A94"/>
    <w:rsid w:val="00CC5DF3"/>
    <w:rsid w:val="00CC6B88"/>
    <w:rsid w:val="00CC6C58"/>
    <w:rsid w:val="00CD0FF6"/>
    <w:rsid w:val="00CD13B9"/>
    <w:rsid w:val="00CD3672"/>
    <w:rsid w:val="00CD449C"/>
    <w:rsid w:val="00CD64B1"/>
    <w:rsid w:val="00CE00D8"/>
    <w:rsid w:val="00CE08A8"/>
    <w:rsid w:val="00CE52EB"/>
    <w:rsid w:val="00CE661E"/>
    <w:rsid w:val="00CE7A3F"/>
    <w:rsid w:val="00CF051C"/>
    <w:rsid w:val="00CF1020"/>
    <w:rsid w:val="00CF35A1"/>
    <w:rsid w:val="00CF4E6B"/>
    <w:rsid w:val="00CF6E5B"/>
    <w:rsid w:val="00D04697"/>
    <w:rsid w:val="00D04D52"/>
    <w:rsid w:val="00D04E2F"/>
    <w:rsid w:val="00D07C81"/>
    <w:rsid w:val="00D07CED"/>
    <w:rsid w:val="00D11743"/>
    <w:rsid w:val="00D11C56"/>
    <w:rsid w:val="00D130B6"/>
    <w:rsid w:val="00D15051"/>
    <w:rsid w:val="00D1696E"/>
    <w:rsid w:val="00D16FE1"/>
    <w:rsid w:val="00D1785D"/>
    <w:rsid w:val="00D17E9D"/>
    <w:rsid w:val="00D21FA5"/>
    <w:rsid w:val="00D22B95"/>
    <w:rsid w:val="00D22FA2"/>
    <w:rsid w:val="00D23497"/>
    <w:rsid w:val="00D24BCB"/>
    <w:rsid w:val="00D258A6"/>
    <w:rsid w:val="00D25E64"/>
    <w:rsid w:val="00D27546"/>
    <w:rsid w:val="00D3134B"/>
    <w:rsid w:val="00D3295F"/>
    <w:rsid w:val="00D349EF"/>
    <w:rsid w:val="00D34D53"/>
    <w:rsid w:val="00D358B2"/>
    <w:rsid w:val="00D35DC1"/>
    <w:rsid w:val="00D369C0"/>
    <w:rsid w:val="00D42096"/>
    <w:rsid w:val="00D60F86"/>
    <w:rsid w:val="00D62248"/>
    <w:rsid w:val="00D673A1"/>
    <w:rsid w:val="00D7576F"/>
    <w:rsid w:val="00D757DD"/>
    <w:rsid w:val="00D76F2E"/>
    <w:rsid w:val="00D77817"/>
    <w:rsid w:val="00D84E58"/>
    <w:rsid w:val="00D85B54"/>
    <w:rsid w:val="00D87C2F"/>
    <w:rsid w:val="00D90C7D"/>
    <w:rsid w:val="00D95F03"/>
    <w:rsid w:val="00D974A5"/>
    <w:rsid w:val="00D97E82"/>
    <w:rsid w:val="00DA0AB7"/>
    <w:rsid w:val="00DA1AA8"/>
    <w:rsid w:val="00DA1C55"/>
    <w:rsid w:val="00DA1FA8"/>
    <w:rsid w:val="00DA39AC"/>
    <w:rsid w:val="00DA3BBA"/>
    <w:rsid w:val="00DA6910"/>
    <w:rsid w:val="00DA6D08"/>
    <w:rsid w:val="00DA7E1B"/>
    <w:rsid w:val="00DB0CFE"/>
    <w:rsid w:val="00DB14B5"/>
    <w:rsid w:val="00DB3E4B"/>
    <w:rsid w:val="00DB4695"/>
    <w:rsid w:val="00DB4AD6"/>
    <w:rsid w:val="00DB6952"/>
    <w:rsid w:val="00DB6C46"/>
    <w:rsid w:val="00DB7C72"/>
    <w:rsid w:val="00DC002C"/>
    <w:rsid w:val="00DC0833"/>
    <w:rsid w:val="00DC59A2"/>
    <w:rsid w:val="00DC6355"/>
    <w:rsid w:val="00DC7CEC"/>
    <w:rsid w:val="00DC7D99"/>
    <w:rsid w:val="00DD29EC"/>
    <w:rsid w:val="00DD3E08"/>
    <w:rsid w:val="00DD69C6"/>
    <w:rsid w:val="00DD7C82"/>
    <w:rsid w:val="00DD7FC9"/>
    <w:rsid w:val="00DE3001"/>
    <w:rsid w:val="00DE686D"/>
    <w:rsid w:val="00DE6F45"/>
    <w:rsid w:val="00DF0FD8"/>
    <w:rsid w:val="00DF199F"/>
    <w:rsid w:val="00DF389E"/>
    <w:rsid w:val="00DF3CB4"/>
    <w:rsid w:val="00DF4D31"/>
    <w:rsid w:val="00DF6AC5"/>
    <w:rsid w:val="00E000F4"/>
    <w:rsid w:val="00E02618"/>
    <w:rsid w:val="00E0596D"/>
    <w:rsid w:val="00E06139"/>
    <w:rsid w:val="00E11E7A"/>
    <w:rsid w:val="00E13052"/>
    <w:rsid w:val="00E14C3B"/>
    <w:rsid w:val="00E1518D"/>
    <w:rsid w:val="00E17575"/>
    <w:rsid w:val="00E17634"/>
    <w:rsid w:val="00E17C8B"/>
    <w:rsid w:val="00E2019D"/>
    <w:rsid w:val="00E214EE"/>
    <w:rsid w:val="00E23439"/>
    <w:rsid w:val="00E26036"/>
    <w:rsid w:val="00E26495"/>
    <w:rsid w:val="00E27EF5"/>
    <w:rsid w:val="00E30751"/>
    <w:rsid w:val="00E30F30"/>
    <w:rsid w:val="00E34AF9"/>
    <w:rsid w:val="00E35B10"/>
    <w:rsid w:val="00E361AD"/>
    <w:rsid w:val="00E4354E"/>
    <w:rsid w:val="00E43A44"/>
    <w:rsid w:val="00E44012"/>
    <w:rsid w:val="00E440DB"/>
    <w:rsid w:val="00E44ADA"/>
    <w:rsid w:val="00E52D0D"/>
    <w:rsid w:val="00E61BC3"/>
    <w:rsid w:val="00E63715"/>
    <w:rsid w:val="00E63BCA"/>
    <w:rsid w:val="00E641B5"/>
    <w:rsid w:val="00E73487"/>
    <w:rsid w:val="00E75275"/>
    <w:rsid w:val="00E81FB2"/>
    <w:rsid w:val="00E82F4E"/>
    <w:rsid w:val="00E83F8E"/>
    <w:rsid w:val="00E85885"/>
    <w:rsid w:val="00E860C1"/>
    <w:rsid w:val="00E87D1B"/>
    <w:rsid w:val="00E9249C"/>
    <w:rsid w:val="00E92505"/>
    <w:rsid w:val="00EA2C2C"/>
    <w:rsid w:val="00EA2F91"/>
    <w:rsid w:val="00EA3241"/>
    <w:rsid w:val="00EA49CC"/>
    <w:rsid w:val="00EA7ADC"/>
    <w:rsid w:val="00EB28C7"/>
    <w:rsid w:val="00EB2E17"/>
    <w:rsid w:val="00EB320A"/>
    <w:rsid w:val="00EB3F70"/>
    <w:rsid w:val="00EB780E"/>
    <w:rsid w:val="00EC0BAD"/>
    <w:rsid w:val="00EC24B9"/>
    <w:rsid w:val="00EC5F1F"/>
    <w:rsid w:val="00EC65BF"/>
    <w:rsid w:val="00ED1C33"/>
    <w:rsid w:val="00ED2EB9"/>
    <w:rsid w:val="00ED3C4C"/>
    <w:rsid w:val="00ED524E"/>
    <w:rsid w:val="00EE0113"/>
    <w:rsid w:val="00EE0663"/>
    <w:rsid w:val="00EE3FA8"/>
    <w:rsid w:val="00EE48AE"/>
    <w:rsid w:val="00EE6565"/>
    <w:rsid w:val="00EE796E"/>
    <w:rsid w:val="00EF1053"/>
    <w:rsid w:val="00EF2325"/>
    <w:rsid w:val="00EF3958"/>
    <w:rsid w:val="00EF4828"/>
    <w:rsid w:val="00EF57A4"/>
    <w:rsid w:val="00EF6831"/>
    <w:rsid w:val="00F078D8"/>
    <w:rsid w:val="00F16E0E"/>
    <w:rsid w:val="00F175ED"/>
    <w:rsid w:val="00F20849"/>
    <w:rsid w:val="00F20953"/>
    <w:rsid w:val="00F20DCF"/>
    <w:rsid w:val="00F21FC5"/>
    <w:rsid w:val="00F22AD7"/>
    <w:rsid w:val="00F25D4D"/>
    <w:rsid w:val="00F26135"/>
    <w:rsid w:val="00F26C35"/>
    <w:rsid w:val="00F26F46"/>
    <w:rsid w:val="00F27A5B"/>
    <w:rsid w:val="00F335AF"/>
    <w:rsid w:val="00F354EA"/>
    <w:rsid w:val="00F363D7"/>
    <w:rsid w:val="00F40517"/>
    <w:rsid w:val="00F40EB4"/>
    <w:rsid w:val="00F41368"/>
    <w:rsid w:val="00F41E04"/>
    <w:rsid w:val="00F42603"/>
    <w:rsid w:val="00F46187"/>
    <w:rsid w:val="00F53602"/>
    <w:rsid w:val="00F56389"/>
    <w:rsid w:val="00F5650C"/>
    <w:rsid w:val="00F61376"/>
    <w:rsid w:val="00F64364"/>
    <w:rsid w:val="00F65804"/>
    <w:rsid w:val="00F70BA1"/>
    <w:rsid w:val="00F72312"/>
    <w:rsid w:val="00F75998"/>
    <w:rsid w:val="00F77767"/>
    <w:rsid w:val="00F83BC9"/>
    <w:rsid w:val="00F85D1B"/>
    <w:rsid w:val="00F87108"/>
    <w:rsid w:val="00F87DCB"/>
    <w:rsid w:val="00F90E3C"/>
    <w:rsid w:val="00F90FC5"/>
    <w:rsid w:val="00F93921"/>
    <w:rsid w:val="00F96263"/>
    <w:rsid w:val="00F96374"/>
    <w:rsid w:val="00FA0848"/>
    <w:rsid w:val="00FA0ED5"/>
    <w:rsid w:val="00FA1161"/>
    <w:rsid w:val="00FA2425"/>
    <w:rsid w:val="00FA5358"/>
    <w:rsid w:val="00FA597B"/>
    <w:rsid w:val="00FA6281"/>
    <w:rsid w:val="00FA6485"/>
    <w:rsid w:val="00FA7360"/>
    <w:rsid w:val="00FB11AB"/>
    <w:rsid w:val="00FB291E"/>
    <w:rsid w:val="00FB2D05"/>
    <w:rsid w:val="00FB3DBF"/>
    <w:rsid w:val="00FB4B08"/>
    <w:rsid w:val="00FB62B4"/>
    <w:rsid w:val="00FB7C1E"/>
    <w:rsid w:val="00FC4CD3"/>
    <w:rsid w:val="00FC64C4"/>
    <w:rsid w:val="00FD05C2"/>
    <w:rsid w:val="00FD2826"/>
    <w:rsid w:val="00FD33A7"/>
    <w:rsid w:val="00FD5A6A"/>
    <w:rsid w:val="00FD5C32"/>
    <w:rsid w:val="00FD689E"/>
    <w:rsid w:val="00FD7D9F"/>
    <w:rsid w:val="00FE1450"/>
    <w:rsid w:val="00FE2E30"/>
    <w:rsid w:val="00FE3501"/>
    <w:rsid w:val="00FE46FC"/>
    <w:rsid w:val="00FE4E8C"/>
    <w:rsid w:val="00FE5259"/>
    <w:rsid w:val="00FE6A22"/>
    <w:rsid w:val="00FF0D9F"/>
    <w:rsid w:val="00FF2EE5"/>
    <w:rsid w:val="00FF4F79"/>
    <w:rsid w:val="00FF6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A5AC6C"/>
  <w15:docId w15:val="{450C7040-8F1B-49CA-A15E-6EC27181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F2"/>
    <w:pPr>
      <w:spacing w:after="0" w:line="264" w:lineRule="auto"/>
    </w:pPr>
  </w:style>
  <w:style w:type="paragraph" w:styleId="Overskrift1">
    <w:name w:val="heading 1"/>
    <w:basedOn w:val="Normal"/>
    <w:next w:val="Normal"/>
    <w:link w:val="Overskrift1Tegn"/>
    <w:uiPriority w:val="9"/>
    <w:qFormat/>
    <w:rsid w:val="009922D9"/>
    <w:pPr>
      <w:keepNext/>
      <w:keepLines/>
      <w:numPr>
        <w:numId w:val="6"/>
      </w:numPr>
      <w:spacing w:after="480"/>
      <w:ind w:left="567" w:hanging="567"/>
      <w:outlineLvl w:val="0"/>
    </w:pPr>
    <w:rPr>
      <w:rFonts w:asciiTheme="majorHAnsi" w:eastAsiaTheme="majorEastAsia" w:hAnsiTheme="majorHAnsi" w:cstheme="majorBidi"/>
      <w:bCs/>
      <w:caps/>
      <w:color w:val="2F243D" w:themeColor="accent3" w:themeShade="BF"/>
      <w:sz w:val="36"/>
      <w:szCs w:val="28"/>
    </w:rPr>
  </w:style>
  <w:style w:type="paragraph" w:styleId="Overskrift2">
    <w:name w:val="heading 2"/>
    <w:basedOn w:val="Normal"/>
    <w:next w:val="Normal"/>
    <w:link w:val="Overskrift2Tegn"/>
    <w:uiPriority w:val="9"/>
    <w:unhideWhenUsed/>
    <w:qFormat/>
    <w:rsid w:val="003035E4"/>
    <w:pPr>
      <w:keepNext/>
      <w:keepLines/>
      <w:numPr>
        <w:ilvl w:val="1"/>
        <w:numId w:val="6"/>
      </w:numPr>
      <w:spacing w:before="240" w:after="120"/>
      <w:ind w:left="578" w:hanging="578"/>
      <w:outlineLvl w:val="1"/>
    </w:pPr>
    <w:rPr>
      <w:rFonts w:asciiTheme="majorHAnsi" w:eastAsiaTheme="majorEastAsia" w:hAnsiTheme="majorHAnsi" w:cstheme="majorBidi"/>
      <w:bCs/>
      <w:color w:val="403152" w:themeColor="accent3"/>
      <w:sz w:val="28"/>
      <w:szCs w:val="26"/>
    </w:rPr>
  </w:style>
  <w:style w:type="paragraph" w:styleId="Overskrift3">
    <w:name w:val="heading 3"/>
    <w:basedOn w:val="Normal"/>
    <w:next w:val="Normal"/>
    <w:link w:val="Overskrift3Tegn"/>
    <w:uiPriority w:val="9"/>
    <w:semiHidden/>
    <w:unhideWhenUsed/>
    <w:qFormat/>
    <w:rsid w:val="00B33F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33F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33F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33F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33F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33F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33F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922D9"/>
    <w:rPr>
      <w:rFonts w:asciiTheme="majorHAnsi" w:eastAsiaTheme="majorEastAsia" w:hAnsiTheme="majorHAnsi" w:cstheme="majorBidi"/>
      <w:bCs/>
      <w:caps/>
      <w:color w:val="2F243D" w:themeColor="accent3" w:themeShade="BF"/>
      <w:sz w:val="36"/>
      <w:szCs w:val="28"/>
    </w:rPr>
  </w:style>
  <w:style w:type="character" w:customStyle="1" w:styleId="Overskrift2Tegn">
    <w:name w:val="Overskrift 2 Tegn"/>
    <w:basedOn w:val="Standardskrifttypeiafsnit"/>
    <w:link w:val="Overskrift2"/>
    <w:uiPriority w:val="9"/>
    <w:rsid w:val="003035E4"/>
    <w:rPr>
      <w:rFonts w:asciiTheme="majorHAnsi" w:eastAsiaTheme="majorEastAsia" w:hAnsiTheme="majorHAnsi" w:cstheme="majorBidi"/>
      <w:bCs/>
      <w:color w:val="403152" w:themeColor="accent3"/>
      <w:sz w:val="28"/>
      <w:szCs w:val="26"/>
    </w:rPr>
  </w:style>
  <w:style w:type="paragraph" w:styleId="Listeafsnit">
    <w:name w:val="List Paragraph"/>
    <w:basedOn w:val="Normal"/>
    <w:uiPriority w:val="34"/>
    <w:qFormat/>
    <w:rsid w:val="005A19FD"/>
    <w:pPr>
      <w:ind w:left="720"/>
      <w:contextualSpacing/>
    </w:pPr>
  </w:style>
  <w:style w:type="table" w:styleId="Tabel-Gitter">
    <w:name w:val="Table Grid"/>
    <w:basedOn w:val="Tabel-Normal"/>
    <w:uiPriority w:val="59"/>
    <w:rsid w:val="00FB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E22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222"/>
    <w:rPr>
      <w:rFonts w:ascii="Tahoma" w:hAnsi="Tahoma" w:cs="Tahoma"/>
      <w:sz w:val="16"/>
      <w:szCs w:val="16"/>
    </w:rPr>
  </w:style>
  <w:style w:type="paragraph" w:styleId="Sidehoved">
    <w:name w:val="header"/>
    <w:basedOn w:val="Normal"/>
    <w:link w:val="SidehovedTegn"/>
    <w:uiPriority w:val="99"/>
    <w:unhideWhenUsed/>
    <w:rsid w:val="00B33FF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33FF2"/>
  </w:style>
  <w:style w:type="paragraph" w:styleId="Sidefod">
    <w:name w:val="footer"/>
    <w:basedOn w:val="Normal"/>
    <w:link w:val="SidefodTegn"/>
    <w:uiPriority w:val="99"/>
    <w:unhideWhenUsed/>
    <w:rsid w:val="00B33FF2"/>
    <w:pPr>
      <w:tabs>
        <w:tab w:val="center" w:pos="4819"/>
        <w:tab w:val="right" w:pos="9638"/>
      </w:tabs>
      <w:spacing w:line="240" w:lineRule="auto"/>
    </w:pPr>
  </w:style>
  <w:style w:type="character" w:customStyle="1" w:styleId="SidefodTegn">
    <w:name w:val="Sidefod Tegn"/>
    <w:basedOn w:val="Standardskrifttypeiafsnit"/>
    <w:link w:val="Sidefod"/>
    <w:uiPriority w:val="99"/>
    <w:rsid w:val="00B33FF2"/>
  </w:style>
  <w:style w:type="character" w:customStyle="1" w:styleId="Overskrift3Tegn">
    <w:name w:val="Overskrift 3 Tegn"/>
    <w:basedOn w:val="Standardskrifttypeiafsnit"/>
    <w:link w:val="Overskrift3"/>
    <w:uiPriority w:val="9"/>
    <w:semiHidden/>
    <w:rsid w:val="00B33FF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33FF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33FF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33FF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33FF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33FF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33FF2"/>
    <w:rPr>
      <w:rFonts w:asciiTheme="majorHAnsi" w:eastAsiaTheme="majorEastAsia" w:hAnsiTheme="majorHAnsi" w:cstheme="majorBidi"/>
      <w:i/>
      <w:iCs/>
      <w:color w:val="404040" w:themeColor="text1" w:themeTint="BF"/>
      <w:sz w:val="20"/>
      <w:szCs w:val="20"/>
    </w:rPr>
  </w:style>
  <w:style w:type="table" w:styleId="Lysskygge-farve1">
    <w:name w:val="Light Shading Accent 1"/>
    <w:basedOn w:val="Tabel-Normal"/>
    <w:uiPriority w:val="60"/>
    <w:rsid w:val="00B33F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dnotetekst">
    <w:name w:val="footnote text"/>
    <w:basedOn w:val="Normal"/>
    <w:link w:val="FodnotetekstTegn"/>
    <w:uiPriority w:val="99"/>
    <w:semiHidden/>
    <w:unhideWhenUsed/>
    <w:rsid w:val="002C3177"/>
    <w:pPr>
      <w:spacing w:line="240" w:lineRule="auto"/>
    </w:pPr>
    <w:rPr>
      <w:sz w:val="20"/>
      <w:szCs w:val="20"/>
    </w:rPr>
  </w:style>
  <w:style w:type="character" w:customStyle="1" w:styleId="FodnotetekstTegn">
    <w:name w:val="Fodnotetekst Tegn"/>
    <w:basedOn w:val="Standardskrifttypeiafsnit"/>
    <w:link w:val="Fodnotetekst"/>
    <w:uiPriority w:val="99"/>
    <w:semiHidden/>
    <w:rsid w:val="002C3177"/>
    <w:rPr>
      <w:sz w:val="20"/>
      <w:szCs w:val="20"/>
    </w:rPr>
  </w:style>
  <w:style w:type="character" w:styleId="Fodnotehenvisning">
    <w:name w:val="footnote reference"/>
    <w:basedOn w:val="Standardskrifttypeiafsnit"/>
    <w:uiPriority w:val="99"/>
    <w:semiHidden/>
    <w:unhideWhenUsed/>
    <w:rsid w:val="002C3177"/>
    <w:rPr>
      <w:vertAlign w:val="superscript"/>
    </w:rPr>
  </w:style>
  <w:style w:type="character" w:styleId="Hyperlink">
    <w:name w:val="Hyperlink"/>
    <w:basedOn w:val="Standardskrifttypeiafsnit"/>
    <w:uiPriority w:val="99"/>
    <w:unhideWhenUsed/>
    <w:rsid w:val="002A4D5C"/>
    <w:rPr>
      <w:color w:val="0000FF" w:themeColor="hyperlink"/>
      <w:u w:val="single"/>
    </w:rPr>
  </w:style>
  <w:style w:type="character" w:styleId="Kommentarhenvisning">
    <w:name w:val="annotation reference"/>
    <w:basedOn w:val="Standardskrifttypeiafsnit"/>
    <w:uiPriority w:val="99"/>
    <w:semiHidden/>
    <w:unhideWhenUsed/>
    <w:rsid w:val="004B4BC8"/>
    <w:rPr>
      <w:sz w:val="16"/>
      <w:szCs w:val="16"/>
    </w:rPr>
  </w:style>
  <w:style w:type="paragraph" w:styleId="Kommentartekst">
    <w:name w:val="annotation text"/>
    <w:basedOn w:val="Normal"/>
    <w:link w:val="KommentartekstTegn"/>
    <w:uiPriority w:val="99"/>
    <w:semiHidden/>
    <w:unhideWhenUsed/>
    <w:rsid w:val="004B4BC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B4BC8"/>
    <w:rPr>
      <w:sz w:val="20"/>
      <w:szCs w:val="20"/>
    </w:rPr>
  </w:style>
  <w:style w:type="paragraph" w:styleId="Kommentaremne">
    <w:name w:val="annotation subject"/>
    <w:basedOn w:val="Kommentartekst"/>
    <w:next w:val="Kommentartekst"/>
    <w:link w:val="KommentaremneTegn"/>
    <w:uiPriority w:val="99"/>
    <w:semiHidden/>
    <w:unhideWhenUsed/>
    <w:rsid w:val="004B4BC8"/>
    <w:rPr>
      <w:b/>
      <w:bCs/>
    </w:rPr>
  </w:style>
  <w:style w:type="character" w:customStyle="1" w:styleId="KommentaremneTegn">
    <w:name w:val="Kommentaremne Tegn"/>
    <w:basedOn w:val="KommentartekstTegn"/>
    <w:link w:val="Kommentaremne"/>
    <w:uiPriority w:val="99"/>
    <w:semiHidden/>
    <w:rsid w:val="004B4BC8"/>
    <w:rPr>
      <w:b/>
      <w:bCs/>
      <w:sz w:val="20"/>
      <w:szCs w:val="20"/>
    </w:rPr>
  </w:style>
  <w:style w:type="paragraph" w:styleId="Indholdsfortegnelse1">
    <w:name w:val="toc 1"/>
    <w:basedOn w:val="Normal"/>
    <w:next w:val="Normal"/>
    <w:autoRedefine/>
    <w:uiPriority w:val="39"/>
    <w:unhideWhenUsed/>
    <w:rsid w:val="00351621"/>
    <w:pPr>
      <w:spacing w:after="100"/>
    </w:pPr>
  </w:style>
  <w:style w:type="paragraph" w:styleId="Indholdsfortegnelse2">
    <w:name w:val="toc 2"/>
    <w:basedOn w:val="Normal"/>
    <w:next w:val="Normal"/>
    <w:autoRedefine/>
    <w:uiPriority w:val="39"/>
    <w:unhideWhenUsed/>
    <w:rsid w:val="00351621"/>
    <w:pPr>
      <w:spacing w:after="100"/>
      <w:ind w:left="220"/>
    </w:pPr>
  </w:style>
  <w:style w:type="paragraph" w:styleId="Billedtekst">
    <w:name w:val="caption"/>
    <w:basedOn w:val="Normal"/>
    <w:next w:val="Normal"/>
    <w:uiPriority w:val="35"/>
    <w:unhideWhenUsed/>
    <w:qFormat/>
    <w:rsid w:val="003035E4"/>
    <w:pPr>
      <w:spacing w:after="200" w:line="240" w:lineRule="auto"/>
    </w:pPr>
    <w:rPr>
      <w:b/>
      <w:bCs/>
      <w:color w:val="403152" w:themeColor="accent3"/>
      <w:sz w:val="18"/>
      <w:szCs w:val="18"/>
    </w:rPr>
  </w:style>
  <w:style w:type="paragraph" w:styleId="Undertitel">
    <w:name w:val="Subtitle"/>
    <w:basedOn w:val="Normal"/>
    <w:next w:val="Normal"/>
    <w:link w:val="UndertitelTegn"/>
    <w:uiPriority w:val="11"/>
    <w:qFormat/>
    <w:rsid w:val="00890E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90E4B"/>
    <w:rPr>
      <w:rFonts w:asciiTheme="majorHAnsi" w:eastAsiaTheme="majorEastAsia" w:hAnsiTheme="majorHAnsi" w:cstheme="majorBidi"/>
      <w:i/>
      <w:iCs/>
      <w:color w:val="4F81BD" w:themeColor="accent1"/>
      <w:spacing w:val="15"/>
      <w:sz w:val="24"/>
      <w:szCs w:val="24"/>
    </w:rPr>
  </w:style>
  <w:style w:type="table" w:customStyle="1" w:styleId="Tabel-Gitter2">
    <w:name w:val="Tabel - Gitter2"/>
    <w:basedOn w:val="Tabel-Normal"/>
    <w:next w:val="Tabel-Gitter"/>
    <w:uiPriority w:val="59"/>
    <w:rsid w:val="00C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D7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D4D78"/>
    <w:pPr>
      <w:spacing w:line="240" w:lineRule="auto"/>
    </w:pPr>
    <w:rPr>
      <w:rFonts w:ascii="Times New Roman" w:hAnsi="Times New Roman" w:cs="Times New Roman"/>
      <w:sz w:val="24"/>
      <w:szCs w:val="24"/>
      <w:lang w:eastAsia="da-DK"/>
    </w:rPr>
  </w:style>
  <w:style w:type="table" w:customStyle="1" w:styleId="Tabel-Gitter21">
    <w:name w:val="Tabel - Gitter21"/>
    <w:basedOn w:val="Tabel-Normal"/>
    <w:next w:val="Tabel-Gitter"/>
    <w:uiPriority w:val="59"/>
    <w:rsid w:val="009E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
    <w:name w:val="• Brødtekst"/>
    <w:qFormat/>
    <w:rsid w:val="001C2808"/>
    <w:pPr>
      <w:tabs>
        <w:tab w:val="left" w:pos="284"/>
      </w:tabs>
      <w:spacing w:after="0" w:line="281" w:lineRule="auto"/>
    </w:pPr>
    <w:rPr>
      <w:rFonts w:ascii="Helvetica" w:eastAsiaTheme="minorEastAsi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172">
      <w:bodyDiv w:val="1"/>
      <w:marLeft w:val="0"/>
      <w:marRight w:val="0"/>
      <w:marTop w:val="0"/>
      <w:marBottom w:val="0"/>
      <w:divBdr>
        <w:top w:val="none" w:sz="0" w:space="0" w:color="auto"/>
        <w:left w:val="none" w:sz="0" w:space="0" w:color="auto"/>
        <w:bottom w:val="none" w:sz="0" w:space="0" w:color="auto"/>
        <w:right w:val="none" w:sz="0" w:space="0" w:color="auto"/>
      </w:divBdr>
    </w:div>
    <w:div w:id="91170984">
      <w:bodyDiv w:val="1"/>
      <w:marLeft w:val="0"/>
      <w:marRight w:val="0"/>
      <w:marTop w:val="0"/>
      <w:marBottom w:val="0"/>
      <w:divBdr>
        <w:top w:val="none" w:sz="0" w:space="0" w:color="auto"/>
        <w:left w:val="none" w:sz="0" w:space="0" w:color="auto"/>
        <w:bottom w:val="none" w:sz="0" w:space="0" w:color="auto"/>
        <w:right w:val="none" w:sz="0" w:space="0" w:color="auto"/>
      </w:divBdr>
    </w:div>
    <w:div w:id="1045789468">
      <w:bodyDiv w:val="1"/>
      <w:marLeft w:val="0"/>
      <w:marRight w:val="0"/>
      <w:marTop w:val="0"/>
      <w:marBottom w:val="0"/>
      <w:divBdr>
        <w:top w:val="none" w:sz="0" w:space="0" w:color="auto"/>
        <w:left w:val="none" w:sz="0" w:space="0" w:color="auto"/>
        <w:bottom w:val="none" w:sz="0" w:space="0" w:color="auto"/>
        <w:right w:val="none" w:sz="0" w:space="0" w:color="auto"/>
      </w:divBdr>
      <w:divsChild>
        <w:div w:id="1054889373">
          <w:marLeft w:val="555"/>
          <w:marRight w:val="405"/>
          <w:marTop w:val="0"/>
          <w:marBottom w:val="0"/>
          <w:divBdr>
            <w:top w:val="none" w:sz="0" w:space="0" w:color="auto"/>
            <w:left w:val="none" w:sz="0" w:space="0" w:color="auto"/>
            <w:bottom w:val="none" w:sz="0" w:space="0" w:color="auto"/>
            <w:right w:val="none" w:sz="0" w:space="0" w:color="auto"/>
          </w:divBdr>
          <w:divsChild>
            <w:div w:id="1916236753">
              <w:marLeft w:val="0"/>
              <w:marRight w:val="0"/>
              <w:marTop w:val="0"/>
              <w:marBottom w:val="0"/>
              <w:divBdr>
                <w:top w:val="none" w:sz="0" w:space="0" w:color="auto"/>
                <w:left w:val="none" w:sz="0" w:space="0" w:color="auto"/>
                <w:bottom w:val="none" w:sz="0" w:space="0" w:color="auto"/>
                <w:right w:val="none" w:sz="0" w:space="0" w:color="auto"/>
              </w:divBdr>
              <w:divsChild>
                <w:div w:id="87511312">
                  <w:marLeft w:val="0"/>
                  <w:marRight w:val="0"/>
                  <w:marTop w:val="0"/>
                  <w:marBottom w:val="0"/>
                  <w:divBdr>
                    <w:top w:val="none" w:sz="0" w:space="0" w:color="auto"/>
                    <w:left w:val="none" w:sz="0" w:space="0" w:color="auto"/>
                    <w:bottom w:val="none" w:sz="0" w:space="0" w:color="auto"/>
                    <w:right w:val="none" w:sz="0" w:space="0" w:color="auto"/>
                  </w:divBdr>
                  <w:divsChild>
                    <w:div w:id="318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4604">
      <w:bodyDiv w:val="1"/>
      <w:marLeft w:val="0"/>
      <w:marRight w:val="0"/>
      <w:marTop w:val="0"/>
      <w:marBottom w:val="0"/>
      <w:divBdr>
        <w:top w:val="none" w:sz="0" w:space="0" w:color="auto"/>
        <w:left w:val="none" w:sz="0" w:space="0" w:color="auto"/>
        <w:bottom w:val="none" w:sz="0" w:space="0" w:color="auto"/>
        <w:right w:val="none" w:sz="0" w:space="0" w:color="auto"/>
      </w:divBdr>
    </w:div>
    <w:div w:id="1687631225">
      <w:bodyDiv w:val="1"/>
      <w:marLeft w:val="0"/>
      <w:marRight w:val="0"/>
      <w:marTop w:val="0"/>
      <w:marBottom w:val="0"/>
      <w:divBdr>
        <w:top w:val="none" w:sz="0" w:space="0" w:color="auto"/>
        <w:left w:val="none" w:sz="0" w:space="0" w:color="auto"/>
        <w:bottom w:val="none" w:sz="0" w:space="0" w:color="auto"/>
        <w:right w:val="none" w:sz="0" w:space="0" w:color="auto"/>
      </w:divBdr>
    </w:div>
    <w:div w:id="1852791247">
      <w:bodyDiv w:val="1"/>
      <w:marLeft w:val="0"/>
      <w:marRight w:val="0"/>
      <w:marTop w:val="0"/>
      <w:marBottom w:val="0"/>
      <w:divBdr>
        <w:top w:val="none" w:sz="0" w:space="0" w:color="auto"/>
        <w:left w:val="none" w:sz="0" w:space="0" w:color="auto"/>
        <w:bottom w:val="none" w:sz="0" w:space="0" w:color="auto"/>
        <w:right w:val="none" w:sz="0" w:space="0" w:color="auto"/>
      </w:divBdr>
    </w:div>
    <w:div w:id="1894806425">
      <w:bodyDiv w:val="1"/>
      <w:marLeft w:val="0"/>
      <w:marRight w:val="0"/>
      <w:marTop w:val="0"/>
      <w:marBottom w:val="0"/>
      <w:divBdr>
        <w:top w:val="none" w:sz="0" w:space="0" w:color="auto"/>
        <w:left w:val="none" w:sz="0" w:space="0" w:color="auto"/>
        <w:bottom w:val="none" w:sz="0" w:space="0" w:color="auto"/>
        <w:right w:val="none" w:sz="0" w:space="0" w:color="auto"/>
      </w:divBdr>
    </w:div>
    <w:div w:id="21201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Brugerdefineret 16">
      <a:dk1>
        <a:sysClr val="windowText" lastClr="000000"/>
      </a:dk1>
      <a:lt1>
        <a:sysClr val="window" lastClr="FFFFFF"/>
      </a:lt1>
      <a:dk2>
        <a:srgbClr val="1F497D"/>
      </a:dk2>
      <a:lt2>
        <a:srgbClr val="EEECE1"/>
      </a:lt2>
      <a:accent1>
        <a:srgbClr val="4F81BD"/>
      </a:accent1>
      <a:accent2>
        <a:srgbClr val="C0504D"/>
      </a:accent2>
      <a:accent3>
        <a:srgbClr val="403152"/>
      </a:accent3>
      <a:accent4>
        <a:srgbClr val="40315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FF246-0EAC-4B6B-B22C-A5195019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5617</Words>
  <Characters>34268</Characters>
  <Application>Microsoft Office Word</Application>
  <DocSecurity>4</DocSecurity>
  <Lines>285</Lines>
  <Paragraphs>79</Paragraphs>
  <ScaleCrop>false</ScaleCrop>
  <HeadingPairs>
    <vt:vector size="4" baseType="variant">
      <vt:variant>
        <vt:lpstr>Titel</vt:lpstr>
      </vt:variant>
      <vt:variant>
        <vt:i4>1</vt:i4>
      </vt:variant>
      <vt:variant>
        <vt:lpstr>Overskrifter</vt:lpstr>
      </vt:variant>
      <vt:variant>
        <vt:i4>17</vt:i4>
      </vt:variant>
    </vt:vector>
  </HeadingPairs>
  <TitlesOfParts>
    <vt:vector size="18" baseType="lpstr">
      <vt:lpstr/>
      <vt:lpstr>Indledning</vt:lpstr>
      <vt:lpstr>Resumé af konklusioner og anbefalinger</vt:lpstr>
      <vt:lpstr>Rammer og tal</vt:lpstr>
      <vt:lpstr>    Aktivitet og organisation</vt:lpstr>
      <vt:lpstr>    Økonomi</vt:lpstr>
      <vt:lpstr>    Vurdering af rammer og tal</vt:lpstr>
      <vt:lpstr>Kunstnerisk aktivitet</vt:lpstr>
      <vt:lpstr>    Teatrets tradition og forestillinger</vt:lpstr>
      <vt:lpstr>    Forestillinger </vt:lpstr>
      <vt:lpstr>    Vurdering af den kunstneriske aktivitet</vt:lpstr>
      <vt:lpstr>Forankring og synlighed</vt:lpstr>
      <vt:lpstr>    Lokal forankring og samarbejde</vt:lpstr>
      <vt:lpstr>    Kommunikation og synlighed</vt:lpstr>
      <vt:lpstr>    Vurdering af forankring og synlighed</vt:lpstr>
      <vt:lpstr>Metode – dataindsamling</vt:lpstr>
      <vt:lpstr>Bilag 1: Alle egnsteatres samlede omsætning i 2015</vt:lpstr>
      <vt:lpstr>Bilag 2: Egnsteatres omsætning – 2015,  offentligt driftstilskud og øvrige indtæ</vt:lpstr>
    </vt:vector>
  </TitlesOfParts>
  <Company>Statens IT</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Bak</dc:creator>
  <cp:lastModifiedBy>Anders Jørgensen</cp:lastModifiedBy>
  <cp:revision>2</cp:revision>
  <cp:lastPrinted>2017-05-07T17:04:00Z</cp:lastPrinted>
  <dcterms:created xsi:type="dcterms:W3CDTF">2021-05-31T12:39:00Z</dcterms:created>
  <dcterms:modified xsi:type="dcterms:W3CDTF">2021-05-31T12:39:00Z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